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宋体" w:hAnsi="宋体" w:eastAsia="宋体" w:cs="宋体"/>
          <w:kern w:val="0"/>
          <w:sz w:val="32"/>
          <w:szCs w:val="32"/>
        </w:rPr>
      </w:pPr>
      <w:r>
        <w:rPr>
          <w:rFonts w:hint="eastAsia" w:ascii="宋体" w:hAnsi="宋体" w:eastAsia="宋体" w:cs="宋体"/>
          <w:b/>
          <w:bCs/>
          <w:kern w:val="0"/>
          <w:sz w:val="32"/>
          <w:szCs w:val="32"/>
        </w:rPr>
        <w:t>金融学院</w:t>
      </w:r>
      <w:r>
        <w:rPr>
          <w:rFonts w:hint="eastAsia" w:ascii="宋体" w:hAnsi="宋体" w:eastAsia="宋体" w:cs="宋体"/>
          <w:b/>
          <w:bCs/>
          <w:kern w:val="0"/>
          <w:sz w:val="32"/>
          <w:szCs w:val="32"/>
          <w:u w:val="none"/>
        </w:rPr>
        <w:t>居住方案与住房金融</w:t>
      </w:r>
      <w:r>
        <w:rPr>
          <w:rFonts w:hint="eastAsia" w:ascii="宋体" w:hAnsi="宋体" w:eastAsia="宋体" w:cs="宋体"/>
          <w:b/>
          <w:bCs/>
          <w:kern w:val="0"/>
          <w:sz w:val="32"/>
          <w:szCs w:val="32"/>
        </w:rPr>
        <w:t>微专业招生简章</w:t>
      </w:r>
    </w:p>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b/>
          <w:bCs/>
          <w:kern w:val="0"/>
          <w:sz w:val="28"/>
          <w:szCs w:val="28"/>
        </w:rPr>
        <w:t>一、专业简介</w:t>
      </w:r>
    </w:p>
    <w:p>
      <w:pPr>
        <w:widowControl/>
        <w:spacing w:before="158" w:line="420" w:lineRule="atLeast"/>
        <w:ind w:firstLine="475"/>
        <w:jc w:val="left"/>
        <w:rPr>
          <w:rFonts w:hint="eastAsia" w:ascii="宋体" w:hAnsi="宋体" w:eastAsia="宋体" w:cs="宋体"/>
          <w:kern w:val="0"/>
          <w:sz w:val="28"/>
          <w:szCs w:val="28"/>
        </w:rPr>
      </w:pPr>
      <w:r>
        <w:rPr>
          <w:rFonts w:hint="eastAsia" w:ascii="宋体" w:hAnsi="宋体" w:eastAsia="宋体" w:cs="宋体"/>
          <w:kern w:val="0"/>
          <w:sz w:val="28"/>
          <w:szCs w:val="28"/>
        </w:rPr>
        <w:t>当你本科或研究生毕业走出大学校门参加工作时，租房住还是买房住？怎么租又怎么买？研究生甚至本科生的住宿社会化是一个趋势，北大、复旦等国内高校2022年已开始不为部分专硕提供宿舍，国外就更不必说了，那么，当你成功升学攻读硕士研究生时，学校不提供宿舍怎么办？到哪里租？怎么租？这些非常现实的必答题就摆在你的面前等待你认真回答。</w:t>
      </w:r>
    </w:p>
    <w:p>
      <w:pPr>
        <w:widowControl/>
        <w:spacing w:before="158" w:line="420" w:lineRule="atLeast"/>
        <w:ind w:firstLine="475"/>
        <w:jc w:val="left"/>
        <w:rPr>
          <w:rFonts w:ascii="宋体" w:hAnsi="宋体" w:eastAsia="宋体" w:cs="宋体"/>
          <w:kern w:val="0"/>
          <w:sz w:val="28"/>
          <w:szCs w:val="28"/>
        </w:rPr>
      </w:pPr>
      <w:r>
        <w:rPr>
          <w:rFonts w:hint="eastAsia" w:ascii="宋体" w:hAnsi="宋体" w:eastAsia="宋体" w:cs="宋体"/>
          <w:kern w:val="0"/>
          <w:sz w:val="28"/>
          <w:szCs w:val="28"/>
        </w:rPr>
        <w:t>住房伴随人的一生，每个人在其求学、入职、结婚、生育、退休和养老，以及孩子上学、工作地点变动、住房升级换代等各阶段和环节，都必然碰到如何实现不同阶段和环节上最优居住预期的问题，为帮助学生提高解决这一问题的能力，中南财经政法大学金融学院开设了“居住方案与住房金融”微专业。本微专业依托我校投资学、房地产开发与管理、工程管理和造价管理等国家和省级一流本科专业建设点，以房地产经济和住房金融等理论为基础，系统学习住房及其经济运行的基本原理、经济金融角度的家庭生命全周期各阶段住房问题解决方案设计及选择、住房投融资、家庭取得住房的方式及其金融支持、家庭住房消费及保值增值功能等基本知识和方法，使学生提高根据自身财力变化，设计最优居住问题解决方案，并能选择合适的住房金融工具的能力。</w:t>
      </w:r>
    </w:p>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rPr>
        <w:t>二、培养目标</w:t>
      </w:r>
    </w:p>
    <w:p>
      <w:pPr>
        <w:widowControl/>
        <w:shd w:val="clear" w:color="auto"/>
        <w:spacing w:before="158" w:line="420" w:lineRule="atLeast"/>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本微专业以培养学生住房金融素养和家庭生命全周期中各阶段和环节居住问题解决方案的设计能力为目标，达到使学生既能提高系统掌握根据个人和家庭财务状况变化理性选择居住问题解决方案，并正确使用相关住房金融工具的能力，又能提高住房经济和投融资素养，改善自身知识结构和提升综合素质的目的。</w:t>
      </w:r>
    </w:p>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rPr>
        <w:t>三、学制与证书</w:t>
      </w:r>
    </w:p>
    <w:p>
      <w:pPr>
        <w:widowControl/>
        <w:spacing w:before="158" w:line="420" w:lineRule="atLeast"/>
        <w:ind w:firstLine="475"/>
        <w:jc w:val="left"/>
        <w:rPr>
          <w:rFonts w:ascii="宋体" w:hAnsi="宋体" w:eastAsia="宋体" w:cs="宋体"/>
          <w:kern w:val="0"/>
          <w:sz w:val="28"/>
          <w:szCs w:val="28"/>
        </w:rPr>
      </w:pPr>
      <w:r>
        <w:rPr>
          <w:rFonts w:hint="eastAsia" w:ascii="宋体" w:hAnsi="宋体" w:eastAsia="宋体" w:cs="宋体"/>
          <w:kern w:val="0"/>
          <w:sz w:val="28"/>
          <w:szCs w:val="28"/>
        </w:rPr>
        <w:t>本微专业实行</w:t>
      </w:r>
      <w:r>
        <w:rPr>
          <w:rFonts w:ascii="宋体" w:hAnsi="宋体" w:eastAsia="宋体" w:cs="宋体"/>
          <w:kern w:val="0"/>
          <w:sz w:val="28"/>
          <w:szCs w:val="28"/>
        </w:rPr>
        <w:t>1-2</w:t>
      </w:r>
      <w:r>
        <w:rPr>
          <w:rFonts w:hint="eastAsia" w:ascii="宋体" w:hAnsi="宋体" w:eastAsia="宋体" w:cs="宋体"/>
          <w:kern w:val="0"/>
          <w:sz w:val="28"/>
          <w:szCs w:val="28"/>
        </w:rPr>
        <w:t>年的弹性学制。</w:t>
      </w:r>
    </w:p>
    <w:p>
      <w:pPr>
        <w:widowControl/>
        <w:spacing w:before="158" w:line="420" w:lineRule="atLeast"/>
        <w:ind w:firstLine="475"/>
        <w:jc w:val="left"/>
        <w:rPr>
          <w:rFonts w:ascii="宋体" w:hAnsi="宋体" w:eastAsia="宋体" w:cs="宋体"/>
          <w:kern w:val="0"/>
          <w:sz w:val="28"/>
          <w:szCs w:val="28"/>
        </w:rPr>
      </w:pPr>
      <w:r>
        <w:rPr>
          <w:rFonts w:hint="eastAsia" w:ascii="宋体" w:hAnsi="宋体" w:eastAsia="宋体" w:cs="宋体"/>
          <w:kern w:val="0"/>
          <w:sz w:val="28"/>
          <w:szCs w:val="28"/>
        </w:rPr>
        <w:t>在</w:t>
      </w:r>
      <w:r>
        <w:rPr>
          <w:rFonts w:ascii="宋体" w:hAnsi="宋体" w:eastAsia="宋体" w:cs="宋体"/>
          <w:kern w:val="0"/>
          <w:sz w:val="28"/>
          <w:szCs w:val="28"/>
        </w:rPr>
        <w:t>2</w:t>
      </w:r>
      <w:r>
        <w:rPr>
          <w:rFonts w:hint="eastAsia" w:ascii="宋体" w:hAnsi="宋体" w:eastAsia="宋体" w:cs="宋体"/>
          <w:kern w:val="0"/>
          <w:sz w:val="28"/>
          <w:szCs w:val="28"/>
        </w:rPr>
        <w:t>年内通过</w:t>
      </w:r>
      <w:r>
        <w:rPr>
          <w:rFonts w:ascii="宋体" w:hAnsi="宋体" w:eastAsia="宋体" w:cs="宋体"/>
          <w:kern w:val="0"/>
          <w:sz w:val="28"/>
          <w:szCs w:val="28"/>
        </w:rPr>
        <w:t>6</w:t>
      </w:r>
      <w:r>
        <w:rPr>
          <w:rFonts w:hint="eastAsia" w:ascii="宋体" w:hAnsi="宋体" w:eastAsia="宋体" w:cs="宋体"/>
          <w:kern w:val="0"/>
          <w:sz w:val="28"/>
          <w:szCs w:val="28"/>
        </w:rPr>
        <w:t>门课程考试，成绩合格，即可获得对应学分；学分修满后可获得微专业认证证书，证书由教务部统一发放。</w:t>
      </w:r>
    </w:p>
    <w:p>
      <w:pPr>
        <w:widowControl/>
        <w:spacing w:before="158" w:line="420" w:lineRule="atLeast"/>
        <w:ind w:firstLine="475"/>
        <w:jc w:val="left"/>
        <w:rPr>
          <w:rFonts w:ascii="宋体" w:hAnsi="宋体" w:eastAsia="宋体" w:cs="宋体"/>
          <w:kern w:val="0"/>
          <w:sz w:val="28"/>
          <w:szCs w:val="28"/>
        </w:rPr>
      </w:pPr>
      <w:r>
        <w:rPr>
          <w:rFonts w:hint="eastAsia" w:ascii="宋体" w:hAnsi="宋体" w:eastAsia="宋体" w:cs="宋体"/>
          <w:kern w:val="0"/>
          <w:sz w:val="28"/>
          <w:szCs w:val="28"/>
        </w:rPr>
        <w:t>参加微专业修读的学生，已修读的微专业课程学分可等值认定为通识选修课学分，可认定为通识选修课程的学分不超过</w:t>
      </w:r>
      <w:r>
        <w:rPr>
          <w:rFonts w:ascii="宋体" w:hAnsi="宋体" w:eastAsia="宋体" w:cs="宋体"/>
          <w:kern w:val="0"/>
          <w:sz w:val="28"/>
          <w:szCs w:val="28"/>
        </w:rPr>
        <w:t>6</w:t>
      </w:r>
      <w:r>
        <w:rPr>
          <w:rFonts w:hint="eastAsia" w:ascii="宋体" w:hAnsi="宋体" w:eastAsia="宋体" w:cs="宋体"/>
          <w:kern w:val="0"/>
          <w:sz w:val="28"/>
          <w:szCs w:val="28"/>
        </w:rPr>
        <w:t>学分。同时根据课程内容相近原则可等值认定为专业教育课程学分。</w:t>
      </w:r>
    </w:p>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rPr>
        <w:t>四、招生对象</w:t>
      </w:r>
    </w:p>
    <w:p>
      <w:pPr>
        <w:widowControl/>
        <w:shd w:val="clear" w:color="auto"/>
        <w:spacing w:before="158" w:line="420" w:lineRule="atLeast"/>
        <w:ind w:firstLine="475"/>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凡我校202</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级、202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级在校本科生，均可报名，不限专业。</w:t>
      </w:r>
    </w:p>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rPr>
        <w:t>五、收费标准</w:t>
      </w:r>
    </w:p>
    <w:p>
      <w:pPr>
        <w:widowControl/>
        <w:shd w:val="clear" w:color="auto"/>
        <w:spacing w:before="158" w:line="420" w:lineRule="atLeast"/>
        <w:ind w:firstLine="475"/>
        <w:jc w:val="left"/>
        <w:rPr>
          <w:rFonts w:ascii="宋体" w:hAnsi="宋体" w:eastAsia="宋体" w:cs="宋体"/>
          <w:kern w:val="0"/>
          <w:sz w:val="28"/>
          <w:szCs w:val="28"/>
        </w:rPr>
      </w:pPr>
      <w:r>
        <w:rPr>
          <w:rFonts w:hint="eastAsia" w:ascii="宋体" w:hAnsi="宋体" w:eastAsia="宋体" w:cs="宋体"/>
          <w:kern w:val="0"/>
          <w:sz w:val="28"/>
          <w:szCs w:val="28"/>
        </w:rPr>
        <w:t>微专业根据学校有关规定按学分收取学费，每学分100元。居住方案与住房金融专业1</w:t>
      </w:r>
      <w:r>
        <w:rPr>
          <w:rFonts w:ascii="宋体" w:hAnsi="宋体" w:eastAsia="宋体" w:cs="宋体"/>
          <w:kern w:val="0"/>
          <w:sz w:val="28"/>
          <w:szCs w:val="28"/>
        </w:rPr>
        <w:t>2</w:t>
      </w:r>
      <w:r>
        <w:rPr>
          <w:rFonts w:hint="eastAsia" w:ascii="宋体" w:hAnsi="宋体" w:eastAsia="宋体" w:cs="宋体"/>
          <w:kern w:val="0"/>
          <w:sz w:val="28"/>
          <w:szCs w:val="28"/>
        </w:rPr>
        <w:t>学分，学费1</w:t>
      </w:r>
      <w:r>
        <w:rPr>
          <w:rFonts w:ascii="宋体" w:hAnsi="宋体" w:eastAsia="宋体" w:cs="宋体"/>
          <w:kern w:val="0"/>
          <w:sz w:val="28"/>
          <w:szCs w:val="28"/>
        </w:rPr>
        <w:t>2</w:t>
      </w:r>
      <w:r>
        <w:rPr>
          <w:rFonts w:hint="eastAsia" w:ascii="宋体" w:hAnsi="宋体" w:eastAsia="宋体" w:cs="宋体"/>
          <w:kern w:val="0"/>
          <w:sz w:val="28"/>
          <w:szCs w:val="28"/>
        </w:rPr>
        <w:t>00元。微专业需一次性缴清学费，具体缴费时间和缴费流程另行通知。</w:t>
      </w:r>
    </w:p>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rPr>
        <w:t>六、报名时间及流程</w:t>
      </w:r>
    </w:p>
    <w:p>
      <w:pPr>
        <w:widowControl/>
        <w:shd w:val="clear" w:color="auto"/>
        <w:spacing w:before="158" w:line="420" w:lineRule="atLeast"/>
        <w:ind w:firstLine="475"/>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（一）报名时间</w:t>
      </w:r>
    </w:p>
    <w:p>
      <w:pPr>
        <w:widowControl/>
        <w:shd w:val="clear" w:color="auto"/>
        <w:spacing w:before="158" w:line="420" w:lineRule="atLeast"/>
        <w:ind w:firstLine="475"/>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具体报名时间</w:t>
      </w:r>
      <w:r>
        <w:rPr>
          <w:rFonts w:hint="eastAsia" w:ascii="宋体" w:hAnsi="宋体" w:eastAsia="宋体" w:cs="宋体"/>
          <w:color w:val="auto"/>
          <w:kern w:val="0"/>
          <w:sz w:val="28"/>
          <w:szCs w:val="28"/>
          <w:lang w:val="en-US" w:eastAsia="zh-CN"/>
        </w:rPr>
        <w:t>以教务部相关</w:t>
      </w:r>
      <w:r>
        <w:rPr>
          <w:rFonts w:hint="eastAsia" w:ascii="宋体" w:hAnsi="宋体" w:eastAsia="宋体" w:cs="宋体"/>
          <w:color w:val="auto"/>
          <w:kern w:val="0"/>
          <w:sz w:val="28"/>
          <w:szCs w:val="28"/>
          <w:lang w:eastAsia="zh-CN"/>
        </w:rPr>
        <w:t>通知</w:t>
      </w:r>
      <w:r>
        <w:rPr>
          <w:rFonts w:hint="eastAsia" w:ascii="宋体" w:hAnsi="宋体" w:eastAsia="宋体" w:cs="宋体"/>
          <w:color w:val="auto"/>
          <w:kern w:val="0"/>
          <w:sz w:val="28"/>
          <w:szCs w:val="28"/>
          <w:lang w:val="en-US" w:eastAsia="zh-CN"/>
        </w:rPr>
        <w:t>为准</w:t>
      </w:r>
    </w:p>
    <w:p>
      <w:pPr>
        <w:widowControl/>
        <w:shd w:val="clear" w:color="auto"/>
        <w:spacing w:before="158" w:line="420" w:lineRule="atLeast"/>
        <w:ind w:firstLine="475"/>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（二）报名流程</w:t>
      </w:r>
    </w:p>
    <w:p>
      <w:pPr>
        <w:widowControl/>
        <w:shd w:val="clear" w:color="auto"/>
        <w:spacing w:before="158" w:line="420" w:lineRule="atLeas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学生登录教务系统进行报名，具体报名流程及操作方法请前往教务部官网下载《微专业报名学生操作指南》查看。</w:t>
      </w:r>
    </w:p>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rPr>
        <w:t>七、教学时间及上课安排</w:t>
      </w:r>
    </w:p>
    <w:p>
      <w:pPr>
        <w:widowControl/>
        <w:shd w:val="clear" w:color="auto"/>
        <w:spacing w:before="158" w:line="420" w:lineRule="atLeast"/>
        <w:ind w:firstLine="475"/>
        <w:jc w:val="left"/>
        <w:rPr>
          <w:rFonts w:ascii="宋体" w:hAnsi="宋体" w:eastAsia="宋体" w:cs="宋体"/>
          <w:kern w:val="0"/>
          <w:sz w:val="28"/>
          <w:szCs w:val="28"/>
        </w:rPr>
      </w:pPr>
      <w:r>
        <w:rPr>
          <w:rFonts w:hint="eastAsia" w:ascii="宋体" w:hAnsi="宋体" w:eastAsia="宋体" w:cs="宋体"/>
          <w:kern w:val="0"/>
          <w:sz w:val="28"/>
          <w:szCs w:val="28"/>
        </w:rPr>
        <w:t>微专业教学时间为2个学期，定于2023—2024学年第二学期开课，上课时间暂定为周一至周五晚上或双休日（会综合考虑大家的空闲时间），课表信息请于2023—2024学年第二学期开学前至金融学院官网查看。</w:t>
      </w:r>
    </w:p>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rPr>
        <w:t>八、课程设置</w:t>
      </w:r>
    </w:p>
    <w:tbl>
      <w:tblPr>
        <w:tblStyle w:val="10"/>
        <w:tblW w:w="8145"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0" w:type="dxa"/>
          <w:bottom w:w="0" w:type="dxa"/>
          <w:right w:w="0" w:type="dxa"/>
        </w:tblCellMar>
      </w:tblPr>
      <w:tblGrid>
        <w:gridCol w:w="1567"/>
        <w:gridCol w:w="3112"/>
        <w:gridCol w:w="1567"/>
        <w:gridCol w:w="949"/>
        <w:gridCol w:w="95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学期</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课程名称</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教学方式</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课时</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学分</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0" w:type="auto"/>
            <w:vMerge w:val="restart"/>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第一学期</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住房经济概论</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49"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居住方案选择</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住房金融</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0" w:type="auto"/>
            <w:vMerge w:val="restart"/>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第二学期</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住房取得与金融支持</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家庭住房管理</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0" w:type="auto"/>
            <w:vMerge w:val="continue"/>
            <w:shd w:val="clear" w:color="auto" w:fill="auto"/>
            <w:vAlign w:val="center"/>
          </w:tcPr>
          <w:p>
            <w:pPr>
              <w:widowControl/>
              <w:shd w:val="clear" w:color="auto"/>
              <w:spacing w:before="158" w:line="420" w:lineRule="atLeast"/>
              <w:ind w:firstLine="475"/>
              <w:jc w:val="left"/>
              <w:rPr>
                <w:rFonts w:ascii="宋体" w:hAnsi="宋体" w:eastAsia="宋体" w:cs="宋体"/>
                <w:kern w:val="0"/>
                <w:sz w:val="28"/>
                <w:szCs w:val="28"/>
              </w:rPr>
            </w:pP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left"/>
              <w:rPr>
                <w:rFonts w:ascii="宋体" w:hAnsi="宋体" w:eastAsia="宋体" w:cs="宋体"/>
                <w:kern w:val="0"/>
                <w:sz w:val="28"/>
                <w:szCs w:val="28"/>
              </w:rPr>
            </w:pPr>
            <w:r>
              <w:rPr>
                <w:rFonts w:hint="eastAsia" w:ascii="宋体" w:hAnsi="宋体" w:eastAsia="宋体" w:cs="宋体"/>
                <w:kern w:val="0"/>
                <w:sz w:val="28"/>
                <w:szCs w:val="28"/>
              </w:rPr>
              <w:t>住房装修与智能化</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线下</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32</w:t>
            </w:r>
          </w:p>
        </w:tc>
        <w:tc>
          <w:tcPr>
            <w:tcW w:w="0" w:type="auto"/>
            <w:shd w:val="clear" w:color="auto" w:fill="auto"/>
            <w:tcMar>
              <w:top w:w="75" w:type="dxa"/>
              <w:left w:w="150" w:type="dxa"/>
              <w:bottom w:w="75" w:type="dxa"/>
              <w:right w:w="150" w:type="dxa"/>
            </w:tcMar>
            <w:vAlign w:val="center"/>
          </w:tcPr>
          <w:p>
            <w:pPr>
              <w:widowControl/>
              <w:shd w:val="clear" w:color="auto"/>
              <w:spacing w:before="158" w:line="420" w:lineRule="atLeast"/>
              <w:jc w:val="center"/>
              <w:rPr>
                <w:rFonts w:ascii="宋体" w:hAnsi="宋体" w:eastAsia="宋体" w:cs="宋体"/>
                <w:kern w:val="0"/>
                <w:sz w:val="28"/>
                <w:szCs w:val="28"/>
              </w:rPr>
            </w:pPr>
            <w:r>
              <w:rPr>
                <w:rFonts w:hint="eastAsia" w:ascii="宋体" w:hAnsi="宋体" w:eastAsia="宋体" w:cs="宋体"/>
                <w:kern w:val="0"/>
                <w:sz w:val="28"/>
                <w:szCs w:val="28"/>
              </w:rPr>
              <w:t>2</w:t>
            </w:r>
          </w:p>
        </w:tc>
      </w:tr>
    </w:tbl>
    <w:p>
      <w:pPr>
        <w:widowControl/>
        <w:shd w:val="clear" w:color="auto"/>
        <w:spacing w:before="158" w:line="420" w:lineRule="atLeast"/>
        <w:jc w:val="left"/>
        <w:rPr>
          <w:rFonts w:ascii="宋体" w:hAnsi="宋体" w:eastAsia="宋体" w:cs="宋体"/>
          <w:b/>
          <w:bCs/>
          <w:kern w:val="0"/>
          <w:sz w:val="28"/>
          <w:szCs w:val="28"/>
        </w:rPr>
      </w:pPr>
      <w:r>
        <w:rPr>
          <w:rFonts w:hint="eastAsia" w:ascii="宋体" w:hAnsi="宋体" w:eastAsia="宋体" w:cs="宋体"/>
          <w:b/>
          <w:bCs/>
          <w:kern w:val="0"/>
          <w:sz w:val="28"/>
          <w:szCs w:val="28"/>
          <w:lang w:eastAsia="zh-CN"/>
        </w:rPr>
        <w:t>九</w:t>
      </w:r>
      <w:r>
        <w:rPr>
          <w:rFonts w:hint="eastAsia" w:ascii="宋体" w:hAnsi="宋体" w:eastAsia="宋体" w:cs="宋体"/>
          <w:b/>
          <w:bCs/>
          <w:kern w:val="0"/>
          <w:sz w:val="28"/>
          <w:szCs w:val="28"/>
        </w:rPr>
        <w:t>、咨询电话</w:t>
      </w:r>
    </w:p>
    <w:p>
      <w:pPr>
        <w:widowControl/>
        <w:shd w:val="clear" w:color="auto"/>
        <w:spacing w:before="158" w:line="420" w:lineRule="atLeast"/>
        <w:ind w:firstLine="475"/>
        <w:jc w:val="left"/>
        <w:rPr>
          <w:rFonts w:hint="eastAsia" w:ascii="宋体" w:hAnsi="宋体" w:eastAsia="宋体" w:cs="宋体"/>
          <w:kern w:val="0"/>
          <w:sz w:val="28"/>
          <w:szCs w:val="28"/>
        </w:rPr>
      </w:pPr>
      <w:r>
        <w:rPr>
          <w:rFonts w:hint="eastAsia" w:ascii="宋体" w:hAnsi="宋体" w:eastAsia="宋体" w:cs="宋体"/>
          <w:kern w:val="0"/>
          <w:sz w:val="28"/>
          <w:szCs w:val="28"/>
        </w:rPr>
        <w:t>金融学院居住方案和住房金融微专业管理老师：胡老师，</w:t>
      </w:r>
      <w:r>
        <w:rPr>
          <w:rFonts w:hint="eastAsia" w:ascii="宋体" w:hAnsi="宋体" w:eastAsia="宋体" w:cs="宋体"/>
          <w:kern w:val="0"/>
          <w:sz w:val="28"/>
          <w:szCs w:val="28"/>
          <w:lang w:eastAsia="zh-CN"/>
        </w:rPr>
        <w:t>咨询电话：</w:t>
      </w:r>
      <w:r>
        <w:rPr>
          <w:rFonts w:hint="eastAsia" w:ascii="宋体" w:hAnsi="宋体" w:eastAsia="宋体" w:cs="宋体"/>
          <w:kern w:val="0"/>
          <w:sz w:val="28"/>
          <w:szCs w:val="28"/>
        </w:rPr>
        <w:t>88387567</w:t>
      </w:r>
      <w:r>
        <w:rPr>
          <w:rFonts w:hint="eastAsia" w:ascii="宋体" w:hAnsi="宋体" w:eastAsia="宋体" w:cs="宋体"/>
          <w:kern w:val="0"/>
          <w:sz w:val="28"/>
          <w:szCs w:val="28"/>
          <w:lang w:eastAsia="zh-CN"/>
        </w:rPr>
        <w:t>。办公地址：</w:t>
      </w:r>
      <w:r>
        <w:rPr>
          <w:rFonts w:hint="eastAsia" w:ascii="宋体" w:hAnsi="宋体" w:eastAsia="宋体" w:cs="宋体"/>
          <w:kern w:val="0"/>
          <w:sz w:val="28"/>
          <w:szCs w:val="28"/>
        </w:rPr>
        <w:t>文泉楼南433室。</w:t>
      </w:r>
    </w:p>
    <w:p>
      <w:pPr>
        <w:widowControl/>
        <w:spacing w:before="158" w:line="420" w:lineRule="atLeast"/>
        <w:jc w:val="left"/>
        <w:rPr>
          <w:rFonts w:ascii="宋体" w:hAnsi="宋体" w:eastAsia="宋体" w:cs="宋体"/>
          <w:b/>
          <w:bCs/>
          <w:kern w:val="0"/>
          <w:sz w:val="28"/>
          <w:szCs w:val="28"/>
        </w:rPr>
      </w:pPr>
      <w:bookmarkStart w:id="0" w:name="_GoBack"/>
      <w:bookmarkEnd w:id="0"/>
      <w:r>
        <w:rPr>
          <w:rFonts w:hint="eastAsia" w:ascii="宋体" w:hAnsi="宋体" w:eastAsia="宋体" w:cs="宋体"/>
          <w:b/>
          <w:bCs/>
          <w:kern w:val="0"/>
          <w:sz w:val="28"/>
          <w:szCs w:val="28"/>
        </w:rPr>
        <w:t>十、说明</w:t>
      </w:r>
    </w:p>
    <w:p>
      <w:pPr>
        <w:widowControl/>
        <w:spacing w:before="158" w:line="420" w:lineRule="atLeas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凡本招生简章中与《中南财经政法大学微专业建设与管理办法》（中南大教字〔</w:t>
      </w:r>
      <w:r>
        <w:rPr>
          <w:rFonts w:ascii="宋体" w:hAnsi="宋体" w:eastAsia="宋体" w:cs="宋体"/>
          <w:kern w:val="0"/>
          <w:sz w:val="28"/>
          <w:szCs w:val="28"/>
        </w:rPr>
        <w:t>2023</w:t>
      </w:r>
      <w:r>
        <w:rPr>
          <w:rFonts w:hint="eastAsia" w:ascii="宋体" w:hAnsi="宋体" w:eastAsia="宋体" w:cs="宋体"/>
          <w:kern w:val="0"/>
          <w:sz w:val="28"/>
          <w:szCs w:val="28"/>
        </w:rPr>
        <w:t>〕</w:t>
      </w:r>
      <w:r>
        <w:rPr>
          <w:rFonts w:ascii="宋体" w:hAnsi="宋体" w:eastAsia="宋体" w:cs="宋体"/>
          <w:kern w:val="0"/>
          <w:sz w:val="28"/>
          <w:szCs w:val="28"/>
        </w:rPr>
        <w:t xml:space="preserve">36 </w:t>
      </w:r>
      <w:r>
        <w:rPr>
          <w:rFonts w:hint="eastAsia" w:ascii="宋体" w:hAnsi="宋体" w:eastAsia="宋体" w:cs="宋体"/>
          <w:kern w:val="0"/>
          <w:sz w:val="28"/>
          <w:szCs w:val="28"/>
        </w:rPr>
        <w:t>号）相关的内容，均以该办法为准。</w:t>
      </w:r>
    </w:p>
    <w:p>
      <w:pPr>
        <w:widowControl/>
        <w:shd w:val="clear" w:color="auto"/>
        <w:spacing w:before="158" w:line="420" w:lineRule="atLeast"/>
        <w:ind w:firstLine="475"/>
        <w:jc w:val="left"/>
        <w:rPr>
          <w:rFonts w:hint="eastAsia" w:ascii="宋体" w:hAnsi="宋体" w:eastAsia="宋体" w:cs="宋体"/>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747413"/>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MWViNDgyZGEwZGQwNmM2MWI1MWJmYWExMDY4MzAifQ=="/>
  </w:docVars>
  <w:rsids>
    <w:rsidRoot w:val="00E5186A"/>
    <w:rsid w:val="00017F2A"/>
    <w:rsid w:val="000804C8"/>
    <w:rsid w:val="00084B68"/>
    <w:rsid w:val="00090E25"/>
    <w:rsid w:val="000F18FB"/>
    <w:rsid w:val="0012226A"/>
    <w:rsid w:val="001518EF"/>
    <w:rsid w:val="001B728B"/>
    <w:rsid w:val="001E2B01"/>
    <w:rsid w:val="0021775A"/>
    <w:rsid w:val="0022316D"/>
    <w:rsid w:val="00274A23"/>
    <w:rsid w:val="002B1CDA"/>
    <w:rsid w:val="002E18D2"/>
    <w:rsid w:val="0035275B"/>
    <w:rsid w:val="00372828"/>
    <w:rsid w:val="003738C1"/>
    <w:rsid w:val="00376E36"/>
    <w:rsid w:val="003A5207"/>
    <w:rsid w:val="003C69CA"/>
    <w:rsid w:val="0048232A"/>
    <w:rsid w:val="004F21CE"/>
    <w:rsid w:val="00503DBD"/>
    <w:rsid w:val="005179E3"/>
    <w:rsid w:val="005238F7"/>
    <w:rsid w:val="00545727"/>
    <w:rsid w:val="00565477"/>
    <w:rsid w:val="00574F41"/>
    <w:rsid w:val="005B296E"/>
    <w:rsid w:val="005B5EB6"/>
    <w:rsid w:val="005D04C4"/>
    <w:rsid w:val="005F2BBE"/>
    <w:rsid w:val="006148C6"/>
    <w:rsid w:val="00622C20"/>
    <w:rsid w:val="00647D8E"/>
    <w:rsid w:val="00695B45"/>
    <w:rsid w:val="006E1BE8"/>
    <w:rsid w:val="00726F54"/>
    <w:rsid w:val="00734FD6"/>
    <w:rsid w:val="007869FA"/>
    <w:rsid w:val="007C40D4"/>
    <w:rsid w:val="007E4426"/>
    <w:rsid w:val="0080719C"/>
    <w:rsid w:val="0088014B"/>
    <w:rsid w:val="00885B3A"/>
    <w:rsid w:val="008F777B"/>
    <w:rsid w:val="00950A78"/>
    <w:rsid w:val="00984112"/>
    <w:rsid w:val="00995C95"/>
    <w:rsid w:val="009B25EE"/>
    <w:rsid w:val="009B3C2D"/>
    <w:rsid w:val="009C5BA0"/>
    <w:rsid w:val="009E3301"/>
    <w:rsid w:val="009F69F4"/>
    <w:rsid w:val="00A04092"/>
    <w:rsid w:val="00A61C7B"/>
    <w:rsid w:val="00AA758F"/>
    <w:rsid w:val="00AE034E"/>
    <w:rsid w:val="00B43049"/>
    <w:rsid w:val="00B44845"/>
    <w:rsid w:val="00B92294"/>
    <w:rsid w:val="00C17D13"/>
    <w:rsid w:val="00CE332F"/>
    <w:rsid w:val="00CF1AB6"/>
    <w:rsid w:val="00D23541"/>
    <w:rsid w:val="00D85307"/>
    <w:rsid w:val="00D944E5"/>
    <w:rsid w:val="00DC1C83"/>
    <w:rsid w:val="00DF555C"/>
    <w:rsid w:val="00E239D4"/>
    <w:rsid w:val="00E5186A"/>
    <w:rsid w:val="00E71867"/>
    <w:rsid w:val="00EB04EA"/>
    <w:rsid w:val="00F050A1"/>
    <w:rsid w:val="00F35F05"/>
    <w:rsid w:val="00F551AB"/>
    <w:rsid w:val="00FB1447"/>
    <w:rsid w:val="00FD1232"/>
    <w:rsid w:val="00FF12F2"/>
    <w:rsid w:val="095850C2"/>
    <w:rsid w:val="127071D2"/>
    <w:rsid w:val="1CC01071"/>
    <w:rsid w:val="1DFB1A81"/>
    <w:rsid w:val="21BF40D2"/>
    <w:rsid w:val="23986C4C"/>
    <w:rsid w:val="264341A5"/>
    <w:rsid w:val="268F0131"/>
    <w:rsid w:val="2977374D"/>
    <w:rsid w:val="2C212C38"/>
    <w:rsid w:val="3E2C48D7"/>
    <w:rsid w:val="4250464C"/>
    <w:rsid w:val="593D4FBF"/>
    <w:rsid w:val="5A3B1344"/>
    <w:rsid w:val="5B11398D"/>
    <w:rsid w:val="6E3B455A"/>
    <w:rsid w:val="79303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4"/>
    <w:semiHidden/>
    <w:unhideWhenUsed/>
    <w:qFormat/>
    <w:uiPriority w:val="99"/>
    <w:rPr>
      <w:b/>
      <w:bCs/>
    </w:r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标题 1 字符"/>
    <w:basedOn w:val="11"/>
    <w:link w:val="2"/>
    <w:qFormat/>
    <w:uiPriority w:val="9"/>
    <w:rPr>
      <w:b/>
      <w:bCs/>
      <w:kern w:val="44"/>
      <w:sz w:val="44"/>
      <w:szCs w:val="44"/>
    </w:rPr>
  </w:style>
  <w:style w:type="character" w:customStyle="1" w:styleId="17">
    <w:name w:val="标题 2 字符"/>
    <w:basedOn w:val="11"/>
    <w:link w:val="3"/>
    <w:qFormat/>
    <w:uiPriority w:val="9"/>
    <w:rPr>
      <w:rFonts w:asciiTheme="majorHAnsi" w:hAnsiTheme="majorHAnsi" w:eastAsiaTheme="majorEastAsia" w:cstheme="majorBidi"/>
      <w:b/>
      <w:bCs/>
      <w:sz w:val="32"/>
      <w:szCs w:val="32"/>
    </w:rPr>
  </w:style>
  <w:style w:type="character" w:customStyle="1" w:styleId="18">
    <w:name w:val="未处理的提及1"/>
    <w:basedOn w:val="11"/>
    <w:semiHidden/>
    <w:unhideWhenUsed/>
    <w:qFormat/>
    <w:uiPriority w:val="99"/>
    <w:rPr>
      <w:color w:val="605E5C"/>
      <w:shd w:val="clear" w:color="auto" w:fill="E1DFDD"/>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页眉 字符"/>
    <w:basedOn w:val="11"/>
    <w:link w:val="7"/>
    <w:qFormat/>
    <w:uiPriority w:val="99"/>
    <w:rPr>
      <w:sz w:val="18"/>
      <w:szCs w:val="18"/>
    </w:rPr>
  </w:style>
  <w:style w:type="character" w:customStyle="1" w:styleId="21">
    <w:name w:val="页脚 字符"/>
    <w:basedOn w:val="11"/>
    <w:link w:val="6"/>
    <w:qFormat/>
    <w:uiPriority w:val="99"/>
    <w:rPr>
      <w:sz w:val="18"/>
      <w:szCs w:val="18"/>
    </w:rPr>
  </w:style>
  <w:style w:type="character" w:customStyle="1" w:styleId="22">
    <w:name w:val="批注框文本 字符"/>
    <w:basedOn w:val="11"/>
    <w:link w:val="5"/>
    <w:semiHidden/>
    <w:qFormat/>
    <w:uiPriority w:val="99"/>
    <w:rPr>
      <w:sz w:val="18"/>
      <w:szCs w:val="18"/>
    </w:rPr>
  </w:style>
  <w:style w:type="character" w:customStyle="1" w:styleId="23">
    <w:name w:val="批注文字 字符"/>
    <w:basedOn w:val="11"/>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Words>
  <Characters>1018</Characters>
  <Lines>8</Lines>
  <Paragraphs>2</Paragraphs>
  <TotalTime>0</TotalTime>
  <ScaleCrop>false</ScaleCrop>
  <LinksUpToDate>false</LinksUpToDate>
  <CharactersWithSpaces>1194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2022-12-02T03:39:00Z</dcterms:created>
  <dc:creator>A</dc:creator>
  <cp:lastModifiedBy>Elena</cp:lastModifiedBy>
  <dcterms:modified xsi:type="dcterms:W3CDTF">2024-01-02T07:04:38Z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0992E34D02CA46D894B56D634EFFD499</vt:lpwstr>
  </property>
</Properties>
</file>