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11FCB">
      <w:pPr>
        <w:jc w:val="center"/>
        <w:rPr>
          <w:rFonts w:ascii="宋体" w:hAnsi="宋体" w:eastAsia="宋体"/>
          <w:b/>
          <w:bCs/>
          <w:sz w:val="32"/>
          <w:szCs w:val="32"/>
          <w:highlight w:val="none"/>
        </w:rPr>
      </w:pPr>
      <w:r>
        <w:rPr>
          <w:rFonts w:hint="eastAsia" w:ascii="宋体" w:hAnsi="宋体" w:eastAsia="宋体"/>
          <w:b/>
          <w:bCs/>
          <w:sz w:val="32"/>
          <w:szCs w:val="32"/>
          <w:highlight w:val="none"/>
        </w:rPr>
        <w:t>工商管理学院数智化创新管理微专业</w:t>
      </w:r>
    </w:p>
    <w:p w14:paraId="652D84FD">
      <w:pPr>
        <w:jc w:val="center"/>
        <w:rPr>
          <w:rFonts w:ascii="宋体" w:hAnsi="宋体" w:eastAsia="宋体"/>
          <w:sz w:val="28"/>
          <w:szCs w:val="28"/>
          <w:highlight w:val="none"/>
        </w:rPr>
      </w:pPr>
      <w:r>
        <w:rPr>
          <w:rFonts w:hint="eastAsia" w:ascii="宋体" w:hAnsi="宋体" w:eastAsia="宋体"/>
          <w:b/>
          <w:bCs/>
          <w:sz w:val="32"/>
          <w:szCs w:val="32"/>
          <w:highlight w:val="none"/>
        </w:rPr>
        <w:t>招生简章</w:t>
      </w:r>
    </w:p>
    <w:p w14:paraId="1E53BA60">
      <w:pPr>
        <w:rPr>
          <w:rFonts w:ascii="宋体" w:hAnsi="宋体" w:eastAsia="宋体"/>
          <w:b/>
          <w:bCs/>
          <w:sz w:val="28"/>
          <w:szCs w:val="28"/>
          <w:highlight w:val="none"/>
        </w:rPr>
      </w:pPr>
      <w:r>
        <w:rPr>
          <w:rFonts w:hint="eastAsia" w:ascii="宋体" w:hAnsi="宋体" w:eastAsia="宋体"/>
          <w:b/>
          <w:bCs/>
          <w:sz w:val="28"/>
          <w:szCs w:val="28"/>
          <w:highlight w:val="none"/>
        </w:rPr>
        <w:t>一、专业简介</w:t>
      </w:r>
    </w:p>
    <w:p w14:paraId="0D21ADE6">
      <w:pPr>
        <w:ind w:firstLine="560" w:firstLineChars="200"/>
        <w:rPr>
          <w:rFonts w:ascii="宋体" w:hAnsi="宋体" w:eastAsia="宋体"/>
          <w:sz w:val="28"/>
          <w:szCs w:val="28"/>
          <w:highlight w:val="none"/>
        </w:rPr>
      </w:pPr>
      <w:r>
        <w:rPr>
          <w:rFonts w:hint="eastAsia" w:ascii="宋体" w:hAnsi="宋体" w:eastAsia="宋体"/>
          <w:sz w:val="28"/>
          <w:szCs w:val="28"/>
          <w:highlight w:val="none"/>
        </w:rPr>
        <w:t>中南财经政法大学工商管理学院数智化创新管理微专业依托我校工商管理国家级一流本科专业建设点，以国家教育部“新文科”理念为导向，以数智化转型时代的管理学和经济学前沿理论为基础，着重强化数智创新管理的理论学习与技能提升。本专业通过教授商业智能、数字技术、数据管理、数字营销、数字平台等交叉学科专业课程，使学生具备有效管理数字化与智能化转型实践中必备的管理知识、数字化与智能化知识与专业技能。</w:t>
      </w:r>
    </w:p>
    <w:p w14:paraId="60190CCC">
      <w:pPr>
        <w:ind w:firstLine="560" w:firstLineChars="200"/>
        <w:rPr>
          <w:rFonts w:ascii="宋体" w:hAnsi="宋体" w:eastAsia="宋体"/>
          <w:sz w:val="28"/>
          <w:szCs w:val="28"/>
          <w:highlight w:val="none"/>
        </w:rPr>
      </w:pPr>
      <w:r>
        <w:rPr>
          <w:rFonts w:hint="eastAsia" w:ascii="宋体" w:hAnsi="宋体" w:eastAsia="宋体"/>
          <w:sz w:val="28"/>
          <w:szCs w:val="28"/>
          <w:highlight w:val="none"/>
        </w:rPr>
        <w:t>本专业旨在培养学生综合运用数智化创新管理相关理论知识和专业技能，分析经济管理及相关领域复杂问题，并提出相应对策或方案的思维与能力。通过学习，学生能获得数智经济时代所需的信息搜集、加工处理和分析能力，拥有创新思维、技术思维、数字化思维、智能化思维和战略思维，成为富有人文精神与科技洞见、通晓商业规律和管理理论、综合现代管理与数智视野、具有创新创业潜力和商业领导能力的高素质管理人才。</w:t>
      </w:r>
    </w:p>
    <w:p w14:paraId="3C0CC973">
      <w:pPr>
        <w:rPr>
          <w:rFonts w:ascii="宋体" w:hAnsi="宋体" w:eastAsia="宋体"/>
          <w:sz w:val="28"/>
          <w:szCs w:val="28"/>
          <w:highlight w:val="none"/>
        </w:rPr>
      </w:pPr>
      <w:r>
        <w:rPr>
          <w:rFonts w:hint="eastAsia" w:ascii="宋体" w:hAnsi="宋体" w:eastAsia="宋体"/>
          <w:b/>
          <w:bCs/>
          <w:sz w:val="28"/>
          <w:szCs w:val="28"/>
          <w:highlight w:val="none"/>
        </w:rPr>
        <w:t>二、培养目标</w:t>
      </w:r>
    </w:p>
    <w:p w14:paraId="71E23F66">
      <w:pPr>
        <w:ind w:firstLine="560" w:firstLineChars="200"/>
        <w:rPr>
          <w:rFonts w:ascii="宋体" w:hAnsi="宋体" w:eastAsia="宋体"/>
          <w:sz w:val="28"/>
          <w:szCs w:val="28"/>
          <w:highlight w:val="none"/>
        </w:rPr>
      </w:pPr>
      <w:r>
        <w:rPr>
          <w:rFonts w:ascii="宋体" w:hAnsi="宋体" w:eastAsia="宋体"/>
          <w:sz w:val="28"/>
          <w:szCs w:val="28"/>
          <w:highlight w:val="none"/>
        </w:rPr>
        <w:t>1.具有良好的思想政治素质、高尚的职业操守、融入和服务社会的奉献精神。</w:t>
      </w:r>
    </w:p>
    <w:p w14:paraId="0FA72478">
      <w:pPr>
        <w:ind w:firstLine="560" w:firstLineChars="200"/>
        <w:rPr>
          <w:rFonts w:ascii="宋体" w:hAnsi="宋体" w:eastAsia="宋体"/>
          <w:sz w:val="28"/>
          <w:szCs w:val="28"/>
          <w:highlight w:val="none"/>
        </w:rPr>
      </w:pPr>
      <w:r>
        <w:rPr>
          <w:rFonts w:ascii="宋体" w:hAnsi="宋体" w:eastAsia="宋体"/>
          <w:sz w:val="28"/>
          <w:szCs w:val="28"/>
          <w:highlight w:val="none"/>
        </w:rPr>
        <w:t>2.掌握</w:t>
      </w:r>
      <w:r>
        <w:rPr>
          <w:rFonts w:hint="eastAsia" w:ascii="宋体" w:hAnsi="宋体" w:eastAsia="宋体"/>
          <w:sz w:val="28"/>
          <w:szCs w:val="28"/>
          <w:highlight w:val="none"/>
        </w:rPr>
        <w:t>数字化、智能化管理的</w:t>
      </w:r>
      <w:r>
        <w:rPr>
          <w:rFonts w:ascii="宋体" w:hAnsi="宋体" w:eastAsia="宋体"/>
          <w:sz w:val="28"/>
          <w:szCs w:val="28"/>
          <w:highlight w:val="none"/>
        </w:rPr>
        <w:t>相关知识和技能，能够</w:t>
      </w:r>
      <w:r>
        <w:rPr>
          <w:rFonts w:hint="eastAsia" w:ascii="宋体" w:hAnsi="宋体" w:eastAsia="宋体"/>
          <w:sz w:val="28"/>
          <w:szCs w:val="28"/>
          <w:highlight w:val="none"/>
        </w:rPr>
        <w:t>运用交叉学科思维</w:t>
      </w:r>
      <w:r>
        <w:rPr>
          <w:rFonts w:ascii="宋体" w:hAnsi="宋体" w:eastAsia="宋体"/>
          <w:sz w:val="28"/>
          <w:szCs w:val="28"/>
          <w:highlight w:val="none"/>
        </w:rPr>
        <w:t>分析经济管理或相关领域复杂问题，并提出相应对策或方案的思维与能力。</w:t>
      </w:r>
    </w:p>
    <w:p w14:paraId="1A2EBF2D">
      <w:pPr>
        <w:ind w:firstLine="560" w:firstLineChars="200"/>
        <w:rPr>
          <w:rFonts w:ascii="宋体" w:hAnsi="宋体" w:eastAsia="宋体"/>
          <w:sz w:val="28"/>
          <w:szCs w:val="28"/>
          <w:highlight w:val="none"/>
        </w:rPr>
      </w:pPr>
      <w:r>
        <w:rPr>
          <w:rFonts w:ascii="宋体" w:hAnsi="宋体" w:eastAsia="宋体"/>
          <w:sz w:val="28"/>
          <w:szCs w:val="28"/>
          <w:highlight w:val="none"/>
        </w:rPr>
        <w:t>3.获得数智经济时代所需的信息搜集、</w:t>
      </w:r>
      <w:r>
        <w:rPr>
          <w:rFonts w:hint="eastAsia" w:ascii="宋体" w:hAnsi="宋体" w:eastAsia="宋体"/>
          <w:sz w:val="28"/>
          <w:szCs w:val="28"/>
          <w:highlight w:val="none"/>
        </w:rPr>
        <w:t>数据</w:t>
      </w:r>
      <w:r>
        <w:rPr>
          <w:rFonts w:ascii="宋体" w:hAnsi="宋体" w:eastAsia="宋体"/>
          <w:sz w:val="28"/>
          <w:szCs w:val="28"/>
          <w:highlight w:val="none"/>
        </w:rPr>
        <w:t>加工处理和</w:t>
      </w:r>
      <w:r>
        <w:rPr>
          <w:rFonts w:hint="eastAsia" w:ascii="宋体" w:hAnsi="宋体" w:eastAsia="宋体"/>
          <w:sz w:val="28"/>
          <w:szCs w:val="28"/>
          <w:highlight w:val="none"/>
        </w:rPr>
        <w:t>管理</w:t>
      </w:r>
      <w:r>
        <w:rPr>
          <w:rFonts w:ascii="宋体" w:hAnsi="宋体" w:eastAsia="宋体"/>
          <w:sz w:val="28"/>
          <w:szCs w:val="28"/>
          <w:highlight w:val="none"/>
        </w:rPr>
        <w:t>分析能力，</w:t>
      </w:r>
      <w:r>
        <w:rPr>
          <w:rFonts w:hint="eastAsia" w:ascii="宋体" w:hAnsi="宋体" w:eastAsia="宋体"/>
          <w:sz w:val="28"/>
          <w:szCs w:val="28"/>
          <w:highlight w:val="none"/>
        </w:rPr>
        <w:t>拥有系统性的</w:t>
      </w:r>
      <w:r>
        <w:rPr>
          <w:rFonts w:ascii="宋体" w:hAnsi="宋体" w:eastAsia="宋体"/>
          <w:sz w:val="28"/>
          <w:szCs w:val="28"/>
          <w:highlight w:val="none"/>
        </w:rPr>
        <w:t>创新思维和战略思维。</w:t>
      </w:r>
    </w:p>
    <w:p w14:paraId="0E68E1F0">
      <w:pPr>
        <w:ind w:firstLine="560" w:firstLineChars="200"/>
        <w:rPr>
          <w:rFonts w:ascii="宋体" w:hAnsi="宋体" w:eastAsia="宋体"/>
          <w:sz w:val="28"/>
          <w:szCs w:val="28"/>
          <w:highlight w:val="none"/>
        </w:rPr>
      </w:pPr>
      <w:r>
        <w:rPr>
          <w:rFonts w:hint="eastAsia" w:ascii="宋体" w:hAnsi="宋体" w:eastAsia="宋体"/>
          <w:sz w:val="28"/>
          <w:szCs w:val="28"/>
          <w:highlight w:val="none"/>
        </w:rPr>
        <w:t>4．成为“精数字、通智能、善管理、懂应用”的高级专门人才。</w:t>
      </w:r>
    </w:p>
    <w:p w14:paraId="68B07DB1">
      <w:pPr>
        <w:rPr>
          <w:rFonts w:ascii="宋体" w:hAnsi="宋体" w:eastAsia="宋体"/>
          <w:b/>
          <w:bCs/>
          <w:sz w:val="28"/>
          <w:szCs w:val="28"/>
          <w:highlight w:val="none"/>
        </w:rPr>
      </w:pPr>
      <w:r>
        <w:rPr>
          <w:rFonts w:hint="eastAsia" w:ascii="宋体" w:hAnsi="宋体" w:eastAsia="宋体"/>
          <w:b/>
          <w:bCs/>
          <w:sz w:val="28"/>
          <w:szCs w:val="28"/>
          <w:highlight w:val="none"/>
        </w:rPr>
        <w:t>三、学制与证书</w:t>
      </w:r>
    </w:p>
    <w:p w14:paraId="13920F35">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修读年限为一学年。完成各门课程学习，并取得合格成绩，即可获得对应学分；学分修满后方可获得微专业认证证书，证书由</w:t>
      </w:r>
      <w:r>
        <w:rPr>
          <w:rFonts w:hint="eastAsia" w:ascii="宋体" w:hAnsi="宋体" w:eastAsia="宋体"/>
          <w:sz w:val="28"/>
          <w:szCs w:val="28"/>
          <w:highlight w:val="none"/>
          <w:lang w:eastAsia="zh-CN"/>
        </w:rPr>
        <w:t>本科生院</w:t>
      </w:r>
      <w:r>
        <w:rPr>
          <w:rFonts w:hint="eastAsia" w:ascii="宋体" w:hAnsi="宋体" w:eastAsia="宋体"/>
          <w:sz w:val="28"/>
          <w:szCs w:val="28"/>
          <w:highlight w:val="none"/>
        </w:rPr>
        <w:t>统一发放。</w:t>
      </w:r>
    </w:p>
    <w:p w14:paraId="655E2D88">
      <w:pPr>
        <w:rPr>
          <w:rFonts w:ascii="宋体" w:hAnsi="宋体" w:eastAsia="宋体"/>
          <w:sz w:val="28"/>
          <w:szCs w:val="28"/>
          <w:highlight w:val="none"/>
        </w:rPr>
      </w:pPr>
      <w:r>
        <w:rPr>
          <w:rFonts w:hint="eastAsia" w:ascii="宋体" w:hAnsi="宋体" w:eastAsia="宋体"/>
          <w:b/>
          <w:bCs/>
          <w:sz w:val="28"/>
          <w:szCs w:val="28"/>
          <w:highlight w:val="none"/>
        </w:rPr>
        <w:t>四、招生对象</w:t>
      </w:r>
    </w:p>
    <w:p w14:paraId="6905ACF8">
      <w:pPr>
        <w:ind w:firstLine="560" w:firstLineChars="200"/>
        <w:rPr>
          <w:rFonts w:ascii="宋体" w:hAnsi="宋体" w:eastAsia="宋体"/>
          <w:sz w:val="28"/>
          <w:szCs w:val="28"/>
          <w:highlight w:val="none"/>
        </w:rPr>
      </w:pPr>
      <w:r>
        <w:rPr>
          <w:rFonts w:hint="eastAsia" w:ascii="宋体" w:hAnsi="宋体" w:eastAsia="宋体"/>
          <w:sz w:val="28"/>
          <w:szCs w:val="28"/>
          <w:highlight w:val="none"/>
        </w:rPr>
        <w:t>凡我校</w:t>
      </w:r>
      <w:r>
        <w:rPr>
          <w:rFonts w:ascii="宋体" w:hAnsi="宋体" w:eastAsia="宋体"/>
          <w:sz w:val="28"/>
          <w:szCs w:val="28"/>
          <w:highlight w:val="none"/>
        </w:rPr>
        <w:t>202</w:t>
      </w:r>
      <w:r>
        <w:rPr>
          <w:rFonts w:hint="eastAsia" w:ascii="宋体" w:hAnsi="宋体" w:eastAsia="宋体"/>
          <w:sz w:val="28"/>
          <w:szCs w:val="28"/>
          <w:highlight w:val="none"/>
          <w:lang w:val="en-US" w:eastAsia="zh-CN"/>
        </w:rPr>
        <w:t>3</w:t>
      </w:r>
      <w:r>
        <w:rPr>
          <w:rFonts w:ascii="宋体" w:hAnsi="宋体" w:eastAsia="宋体"/>
          <w:sz w:val="28"/>
          <w:szCs w:val="28"/>
          <w:highlight w:val="none"/>
        </w:rPr>
        <w:t>级、202</w:t>
      </w:r>
      <w:r>
        <w:rPr>
          <w:rFonts w:hint="eastAsia" w:ascii="宋体" w:hAnsi="宋体" w:eastAsia="宋体"/>
          <w:sz w:val="28"/>
          <w:szCs w:val="28"/>
          <w:highlight w:val="none"/>
          <w:lang w:val="en-US" w:eastAsia="zh-CN"/>
        </w:rPr>
        <w:t>4</w:t>
      </w:r>
      <w:r>
        <w:rPr>
          <w:rFonts w:ascii="宋体" w:hAnsi="宋体" w:eastAsia="宋体"/>
          <w:sz w:val="28"/>
          <w:szCs w:val="28"/>
          <w:highlight w:val="none"/>
        </w:rPr>
        <w:t>级在校本科生，均可报名，不限专业。</w:t>
      </w:r>
    </w:p>
    <w:p w14:paraId="00501BD2">
      <w:pPr>
        <w:numPr>
          <w:ilvl w:val="0"/>
          <w:numId w:val="1"/>
        </w:numPr>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招生规模</w:t>
      </w:r>
    </w:p>
    <w:p w14:paraId="70B835DB">
      <w:pPr>
        <w:ind w:firstLine="560" w:firstLineChars="200"/>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预计招生50人。</w:t>
      </w:r>
    </w:p>
    <w:p w14:paraId="2366BBBF">
      <w:pPr>
        <w:numPr>
          <w:ilvl w:val="0"/>
          <w:numId w:val="0"/>
        </w:numPr>
        <w:rPr>
          <w:rFonts w:ascii="宋体" w:hAnsi="宋体" w:eastAsia="宋体"/>
          <w:b/>
          <w:bCs/>
          <w:sz w:val="28"/>
          <w:szCs w:val="28"/>
          <w:highlight w:val="none"/>
        </w:rPr>
      </w:pPr>
      <w:r>
        <w:rPr>
          <w:rFonts w:hint="eastAsia" w:ascii="宋体" w:hAnsi="宋体" w:eastAsia="宋体"/>
          <w:b/>
          <w:bCs/>
          <w:sz w:val="28"/>
          <w:szCs w:val="28"/>
          <w:highlight w:val="none"/>
          <w:lang w:val="en-US" w:eastAsia="zh-CN"/>
        </w:rPr>
        <w:t>六、</w:t>
      </w:r>
      <w:r>
        <w:rPr>
          <w:rFonts w:hint="eastAsia" w:ascii="宋体" w:hAnsi="宋体" w:eastAsia="宋体"/>
          <w:b/>
          <w:bCs/>
          <w:sz w:val="28"/>
          <w:szCs w:val="28"/>
          <w:highlight w:val="none"/>
        </w:rPr>
        <w:t>报名流程</w:t>
      </w:r>
    </w:p>
    <w:p w14:paraId="373D4EE7">
      <w:pPr>
        <w:widowControl/>
        <w:spacing w:line="20" w:lineRule="atLeast"/>
        <w:ind w:left="48" w:right="48" w:firstLine="444"/>
        <w:rPr>
          <w:rFonts w:ascii="宋体" w:hAnsi="宋体" w:eastAsia="宋体" w:cs="宋体"/>
          <w:color w:val="333333"/>
          <w:kern w:val="0"/>
          <w:sz w:val="28"/>
          <w:szCs w:val="28"/>
          <w:highlight w:val="none"/>
          <w:lang w:bidi="ar"/>
        </w:rPr>
      </w:pPr>
      <w:r>
        <w:rPr>
          <w:rFonts w:hint="eastAsia" w:ascii="宋体" w:hAnsi="宋体" w:eastAsia="宋体" w:cs="宋体"/>
          <w:color w:val="333333"/>
          <w:kern w:val="0"/>
          <w:sz w:val="28"/>
          <w:szCs w:val="28"/>
          <w:highlight w:val="none"/>
          <w:lang w:bidi="ar"/>
        </w:rPr>
        <w:t>（一）报名时间</w:t>
      </w:r>
    </w:p>
    <w:p w14:paraId="40A5F430">
      <w:pPr>
        <w:widowControl/>
        <w:spacing w:line="20" w:lineRule="atLeast"/>
        <w:ind w:left="48" w:right="48" w:firstLine="444"/>
        <w:rPr>
          <w:rFonts w:hint="eastAsia" w:ascii="宋体" w:hAnsi="宋体" w:eastAsia="宋体" w:cs="宋体"/>
          <w:color w:val="333333"/>
          <w:kern w:val="0"/>
          <w:sz w:val="28"/>
          <w:szCs w:val="28"/>
          <w:highlight w:val="none"/>
          <w:lang w:val="en-US" w:eastAsia="zh-CN" w:bidi="ar"/>
        </w:rPr>
      </w:pPr>
      <w:r>
        <w:rPr>
          <w:rFonts w:hint="eastAsia" w:ascii="宋体" w:hAnsi="宋体" w:eastAsia="宋体" w:cs="宋体"/>
          <w:color w:val="333333"/>
          <w:kern w:val="0"/>
          <w:sz w:val="28"/>
          <w:szCs w:val="28"/>
          <w:highlight w:val="none"/>
          <w:lang w:bidi="ar"/>
        </w:rPr>
        <w:t>202</w:t>
      </w:r>
      <w:r>
        <w:rPr>
          <w:rFonts w:hint="eastAsia" w:ascii="宋体" w:hAnsi="宋体" w:eastAsia="宋体" w:cs="宋体"/>
          <w:color w:val="333333"/>
          <w:kern w:val="0"/>
          <w:sz w:val="28"/>
          <w:szCs w:val="28"/>
          <w:highlight w:val="none"/>
          <w:lang w:val="en-US" w:eastAsia="zh-CN" w:bidi="ar"/>
        </w:rPr>
        <w:t>5</w:t>
      </w:r>
      <w:r>
        <w:rPr>
          <w:rFonts w:hint="eastAsia" w:ascii="宋体" w:hAnsi="宋体" w:eastAsia="宋体" w:cs="宋体"/>
          <w:color w:val="333333"/>
          <w:kern w:val="0"/>
          <w:sz w:val="28"/>
          <w:szCs w:val="28"/>
          <w:highlight w:val="none"/>
          <w:lang w:bidi="ar"/>
        </w:rPr>
        <w:t>年</w:t>
      </w:r>
      <w:r>
        <w:rPr>
          <w:rFonts w:hint="eastAsia" w:ascii="宋体" w:hAnsi="宋体" w:eastAsia="宋体" w:cs="宋体"/>
          <w:color w:val="333333"/>
          <w:kern w:val="0"/>
          <w:sz w:val="28"/>
          <w:szCs w:val="28"/>
          <w:highlight w:val="none"/>
          <w:lang w:val="en-US" w:eastAsia="zh-CN" w:bidi="ar"/>
        </w:rPr>
        <w:t>10</w:t>
      </w:r>
      <w:r>
        <w:rPr>
          <w:rFonts w:hint="eastAsia" w:ascii="宋体" w:hAnsi="宋体" w:eastAsia="宋体" w:cs="宋体"/>
          <w:color w:val="333333"/>
          <w:kern w:val="0"/>
          <w:sz w:val="28"/>
          <w:szCs w:val="28"/>
          <w:highlight w:val="none"/>
          <w:lang w:bidi="ar"/>
        </w:rPr>
        <w:t>月</w:t>
      </w:r>
      <w:r>
        <w:rPr>
          <w:rFonts w:hint="eastAsia" w:ascii="宋体" w:hAnsi="宋体" w:eastAsia="宋体" w:cs="宋体"/>
          <w:color w:val="333333"/>
          <w:kern w:val="0"/>
          <w:sz w:val="28"/>
          <w:szCs w:val="28"/>
          <w:highlight w:val="none"/>
          <w:lang w:eastAsia="zh-CN" w:bidi="ar"/>
        </w:rPr>
        <w:t>下旬（具体时间见本科生院</w:t>
      </w:r>
      <w:r>
        <w:rPr>
          <w:rFonts w:hint="eastAsia" w:ascii="宋体" w:hAnsi="宋体" w:eastAsia="宋体" w:cs="宋体"/>
          <w:color w:val="333333"/>
          <w:kern w:val="0"/>
          <w:sz w:val="28"/>
          <w:szCs w:val="28"/>
          <w:highlight w:val="none"/>
          <w:lang w:val="en-US" w:eastAsia="zh-CN" w:bidi="ar"/>
        </w:rPr>
        <w:t>2025年微专业招生报名通知）</w:t>
      </w:r>
    </w:p>
    <w:p w14:paraId="574C655E">
      <w:pPr>
        <w:widowControl/>
        <w:spacing w:line="20" w:lineRule="atLeast"/>
        <w:ind w:left="48" w:right="48" w:firstLine="444"/>
        <w:rPr>
          <w:rFonts w:ascii="宋体" w:hAnsi="宋体" w:eastAsia="宋体" w:cs="宋体"/>
          <w:color w:val="333333"/>
          <w:kern w:val="0"/>
          <w:sz w:val="28"/>
          <w:szCs w:val="28"/>
          <w:highlight w:val="none"/>
          <w:lang w:bidi="ar"/>
        </w:rPr>
      </w:pPr>
      <w:r>
        <w:rPr>
          <w:rFonts w:hint="eastAsia" w:ascii="宋体" w:hAnsi="宋体" w:eastAsia="宋体" w:cs="宋体"/>
          <w:color w:val="333333"/>
          <w:kern w:val="0"/>
          <w:sz w:val="28"/>
          <w:szCs w:val="28"/>
          <w:highlight w:val="none"/>
          <w:lang w:bidi="ar"/>
        </w:rPr>
        <w:t>（二）报名流程</w:t>
      </w:r>
    </w:p>
    <w:p w14:paraId="28D9B033">
      <w:pPr>
        <w:widowControl/>
        <w:spacing w:line="20" w:lineRule="atLeast"/>
        <w:ind w:left="48" w:right="48" w:firstLine="444"/>
        <w:rPr>
          <w:rFonts w:ascii="宋体" w:hAnsi="宋体" w:eastAsia="宋体" w:cs="宋体"/>
          <w:color w:val="333333"/>
          <w:kern w:val="0"/>
          <w:sz w:val="28"/>
          <w:szCs w:val="28"/>
          <w:highlight w:val="none"/>
          <w:lang w:bidi="ar"/>
        </w:rPr>
      </w:pPr>
      <w:r>
        <w:rPr>
          <w:rFonts w:hint="eastAsia" w:ascii="宋体" w:hAnsi="宋体" w:eastAsia="宋体" w:cs="宋体"/>
          <w:color w:val="333333"/>
          <w:kern w:val="0"/>
          <w:sz w:val="28"/>
          <w:szCs w:val="28"/>
          <w:highlight w:val="none"/>
          <w:lang w:bidi="ar"/>
        </w:rPr>
        <w:t>学生登录教务系统进行报名，具体报名流程及操作方法请前往</w:t>
      </w:r>
      <w:r>
        <w:rPr>
          <w:rFonts w:hint="eastAsia" w:ascii="宋体" w:hAnsi="宋体" w:eastAsia="宋体" w:cs="宋体"/>
          <w:color w:val="333333"/>
          <w:kern w:val="0"/>
          <w:sz w:val="28"/>
          <w:szCs w:val="28"/>
          <w:highlight w:val="none"/>
          <w:lang w:eastAsia="zh-CN" w:bidi="ar"/>
        </w:rPr>
        <w:t>本科生院</w:t>
      </w:r>
      <w:r>
        <w:rPr>
          <w:rFonts w:hint="eastAsia" w:ascii="宋体" w:hAnsi="宋体" w:eastAsia="宋体" w:cs="宋体"/>
          <w:sz w:val="28"/>
          <w:szCs w:val="28"/>
        </w:rPr>
        <w:t>官网下载《微专业报名学生操作指南》查看</w:t>
      </w:r>
      <w:r>
        <w:rPr>
          <w:rFonts w:hint="eastAsia" w:ascii="宋体" w:hAnsi="宋体" w:eastAsia="宋体" w:cs="宋体"/>
          <w:color w:val="333333"/>
          <w:kern w:val="0"/>
          <w:sz w:val="28"/>
          <w:szCs w:val="28"/>
          <w:highlight w:val="none"/>
          <w:lang w:bidi="ar"/>
        </w:rPr>
        <w:t>。</w:t>
      </w:r>
    </w:p>
    <w:p w14:paraId="42496154">
      <w:pPr>
        <w:widowControl/>
        <w:spacing w:line="20" w:lineRule="atLeast"/>
        <w:ind w:left="48" w:right="48" w:firstLine="444"/>
        <w:rPr>
          <w:rFonts w:ascii="宋体" w:hAnsi="宋体" w:eastAsia="宋体"/>
          <w:sz w:val="28"/>
          <w:szCs w:val="28"/>
          <w:highlight w:val="none"/>
        </w:rPr>
      </w:pPr>
      <w:r>
        <w:rPr>
          <w:rFonts w:hint="eastAsia" w:ascii="宋体" w:hAnsi="宋体" w:eastAsia="宋体" w:cs="宋体"/>
          <w:color w:val="333333"/>
          <w:kern w:val="0"/>
          <w:sz w:val="28"/>
          <w:szCs w:val="28"/>
          <w:highlight w:val="none"/>
          <w:lang w:bidi="ar"/>
        </w:rPr>
        <w:t>报名结束后，学院于1</w:t>
      </w:r>
      <w:r>
        <w:rPr>
          <w:rFonts w:hint="eastAsia" w:ascii="宋体" w:hAnsi="宋体" w:eastAsia="宋体" w:cs="宋体"/>
          <w:color w:val="333333"/>
          <w:kern w:val="0"/>
          <w:sz w:val="28"/>
          <w:szCs w:val="28"/>
          <w:highlight w:val="none"/>
          <w:lang w:val="en-US" w:eastAsia="zh-CN" w:bidi="ar"/>
        </w:rPr>
        <w:t>1</w:t>
      </w:r>
      <w:r>
        <w:rPr>
          <w:rFonts w:hint="eastAsia" w:ascii="宋体" w:hAnsi="宋体" w:eastAsia="宋体" w:cs="宋体"/>
          <w:color w:val="333333"/>
          <w:kern w:val="0"/>
          <w:sz w:val="28"/>
          <w:szCs w:val="28"/>
          <w:highlight w:val="none"/>
          <w:lang w:bidi="ar"/>
        </w:rPr>
        <w:t>月</w:t>
      </w:r>
      <w:r>
        <w:rPr>
          <w:rFonts w:hint="eastAsia" w:ascii="宋体" w:hAnsi="宋体" w:eastAsia="宋体" w:cs="宋体"/>
          <w:color w:val="333333"/>
          <w:kern w:val="0"/>
          <w:sz w:val="28"/>
          <w:szCs w:val="28"/>
          <w:highlight w:val="none"/>
          <w:lang w:val="en-US" w:eastAsia="zh-CN" w:bidi="ar"/>
        </w:rPr>
        <w:t>15</w:t>
      </w:r>
      <w:r>
        <w:rPr>
          <w:rFonts w:hint="eastAsia" w:ascii="宋体" w:hAnsi="宋体" w:eastAsia="宋体" w:cs="宋体"/>
          <w:color w:val="333333"/>
          <w:kern w:val="0"/>
          <w:sz w:val="28"/>
          <w:szCs w:val="28"/>
          <w:highlight w:val="none"/>
          <w:lang w:bidi="ar"/>
        </w:rPr>
        <w:t>日前确定预录名单，公示后报学校</w:t>
      </w:r>
      <w:r>
        <w:rPr>
          <w:rFonts w:hint="eastAsia" w:ascii="宋体" w:hAnsi="宋体" w:eastAsia="宋体" w:cs="宋体"/>
          <w:color w:val="333333"/>
          <w:kern w:val="0"/>
          <w:sz w:val="28"/>
          <w:szCs w:val="28"/>
          <w:highlight w:val="none"/>
          <w:lang w:eastAsia="zh-CN" w:bidi="ar"/>
        </w:rPr>
        <w:t>本科生院</w:t>
      </w:r>
      <w:r>
        <w:rPr>
          <w:rFonts w:hint="eastAsia" w:ascii="宋体" w:hAnsi="宋体" w:eastAsia="宋体" w:cs="宋体"/>
          <w:color w:val="333333"/>
          <w:kern w:val="0"/>
          <w:sz w:val="28"/>
          <w:szCs w:val="28"/>
          <w:highlight w:val="none"/>
          <w:lang w:bidi="ar"/>
        </w:rPr>
        <w:t>。</w:t>
      </w:r>
    </w:p>
    <w:p w14:paraId="1427B453">
      <w:pPr>
        <w:rPr>
          <w:rFonts w:ascii="宋体" w:hAnsi="宋体" w:eastAsia="宋体"/>
          <w:sz w:val="28"/>
          <w:szCs w:val="28"/>
          <w:highlight w:val="none"/>
        </w:rPr>
      </w:pPr>
      <w:r>
        <w:rPr>
          <w:rFonts w:hint="eastAsia" w:ascii="宋体" w:hAnsi="宋体" w:eastAsia="宋体"/>
          <w:b/>
          <w:bCs/>
          <w:sz w:val="28"/>
          <w:szCs w:val="28"/>
          <w:highlight w:val="none"/>
          <w:lang w:val="en-US" w:eastAsia="zh-CN"/>
        </w:rPr>
        <w:t>七</w:t>
      </w:r>
      <w:r>
        <w:rPr>
          <w:rFonts w:hint="eastAsia" w:ascii="宋体" w:hAnsi="宋体" w:eastAsia="宋体"/>
          <w:b/>
          <w:bCs/>
          <w:sz w:val="28"/>
          <w:szCs w:val="28"/>
          <w:highlight w:val="none"/>
        </w:rPr>
        <w:t>、教学时间及上课安排</w:t>
      </w:r>
    </w:p>
    <w:p w14:paraId="523DA1B4">
      <w:pPr>
        <w:widowControl/>
        <w:spacing w:line="20" w:lineRule="atLeast"/>
        <w:ind w:left="48" w:right="48" w:firstLine="444"/>
        <w:rPr>
          <w:rFonts w:ascii="宋体" w:hAnsi="宋体" w:eastAsia="宋体"/>
          <w:sz w:val="28"/>
          <w:szCs w:val="28"/>
          <w:highlight w:val="none"/>
        </w:rPr>
      </w:pPr>
      <w:r>
        <w:rPr>
          <w:rFonts w:hint="eastAsia" w:ascii="宋体" w:hAnsi="宋体" w:eastAsia="宋体" w:cs="宋体"/>
          <w:color w:val="333333"/>
          <w:kern w:val="0"/>
          <w:sz w:val="28"/>
          <w:szCs w:val="28"/>
          <w:highlight w:val="none"/>
          <w:lang w:bidi="ar"/>
        </w:rPr>
        <w:t>微专业教学时间为2个学期，定于202</w:t>
      </w:r>
      <w:r>
        <w:rPr>
          <w:rFonts w:hint="eastAsia" w:ascii="宋体" w:hAnsi="宋体" w:eastAsia="宋体" w:cs="宋体"/>
          <w:color w:val="333333"/>
          <w:kern w:val="0"/>
          <w:sz w:val="28"/>
          <w:szCs w:val="28"/>
          <w:highlight w:val="none"/>
          <w:lang w:val="en-US" w:eastAsia="zh-CN" w:bidi="ar"/>
        </w:rPr>
        <w:t>5-</w:t>
      </w:r>
      <w:r>
        <w:rPr>
          <w:rFonts w:hint="eastAsia" w:ascii="宋体" w:hAnsi="宋体" w:eastAsia="宋体" w:cs="宋体"/>
          <w:color w:val="333333"/>
          <w:kern w:val="0"/>
          <w:sz w:val="28"/>
          <w:szCs w:val="28"/>
          <w:highlight w:val="none"/>
          <w:lang w:bidi="ar"/>
        </w:rPr>
        <w:t>202</w:t>
      </w:r>
      <w:r>
        <w:rPr>
          <w:rFonts w:hint="eastAsia" w:ascii="宋体" w:hAnsi="宋体" w:eastAsia="宋体" w:cs="宋体"/>
          <w:color w:val="333333"/>
          <w:kern w:val="0"/>
          <w:sz w:val="28"/>
          <w:szCs w:val="28"/>
          <w:highlight w:val="none"/>
          <w:lang w:val="en-US" w:eastAsia="zh-CN" w:bidi="ar"/>
        </w:rPr>
        <w:t>6</w:t>
      </w:r>
      <w:r>
        <w:rPr>
          <w:rFonts w:hint="eastAsia" w:ascii="宋体" w:hAnsi="宋体" w:eastAsia="宋体" w:cs="宋体"/>
          <w:color w:val="333333"/>
          <w:kern w:val="0"/>
          <w:sz w:val="28"/>
          <w:szCs w:val="28"/>
          <w:highlight w:val="none"/>
          <w:lang w:bidi="ar"/>
        </w:rPr>
        <w:t>学年第二学期</w:t>
      </w:r>
      <w:r>
        <w:rPr>
          <w:rFonts w:hint="eastAsia" w:ascii="宋体" w:hAnsi="宋体" w:eastAsia="宋体" w:cs="宋体"/>
          <w:color w:val="333333"/>
          <w:kern w:val="0"/>
          <w:sz w:val="28"/>
          <w:szCs w:val="28"/>
          <w:highlight w:val="none"/>
          <w:lang w:val="en-US" w:eastAsia="zh-CN" w:bidi="ar"/>
        </w:rPr>
        <w:t>和2026-2027第一学期</w:t>
      </w:r>
      <w:r>
        <w:rPr>
          <w:rFonts w:hint="eastAsia" w:ascii="宋体" w:hAnsi="宋体" w:eastAsia="宋体" w:cs="宋体"/>
          <w:color w:val="333333"/>
          <w:kern w:val="0"/>
          <w:sz w:val="28"/>
          <w:szCs w:val="28"/>
          <w:highlight w:val="none"/>
          <w:lang w:bidi="ar"/>
        </w:rPr>
        <w:t>开课，上课时间暂定为周一至周五晚上或双休日（</w:t>
      </w:r>
      <w:r>
        <w:rPr>
          <w:rFonts w:hint="eastAsia" w:ascii="宋体" w:hAnsi="宋体" w:eastAsia="宋体" w:cs="宋体"/>
          <w:b/>
          <w:bCs/>
          <w:color w:val="333333"/>
          <w:kern w:val="0"/>
          <w:sz w:val="28"/>
          <w:szCs w:val="28"/>
          <w:highlight w:val="none"/>
          <w:lang w:bidi="ar"/>
        </w:rPr>
        <w:t>企业数智化实践教学一般安排在周四下午</w:t>
      </w:r>
      <w:r>
        <w:rPr>
          <w:rFonts w:hint="eastAsia" w:ascii="宋体" w:hAnsi="宋体" w:eastAsia="宋体" w:cs="宋体"/>
          <w:color w:val="333333"/>
          <w:kern w:val="0"/>
          <w:sz w:val="28"/>
          <w:szCs w:val="28"/>
          <w:highlight w:val="none"/>
          <w:lang w:bidi="ar"/>
        </w:rPr>
        <w:t>），课表信息请于202</w:t>
      </w:r>
      <w:r>
        <w:rPr>
          <w:rFonts w:hint="eastAsia" w:ascii="宋体" w:hAnsi="宋体" w:eastAsia="宋体" w:cs="宋体"/>
          <w:color w:val="333333"/>
          <w:kern w:val="0"/>
          <w:sz w:val="28"/>
          <w:szCs w:val="28"/>
          <w:highlight w:val="none"/>
          <w:lang w:val="en-US" w:eastAsia="zh-CN" w:bidi="ar"/>
        </w:rPr>
        <w:t>5-</w:t>
      </w:r>
      <w:r>
        <w:rPr>
          <w:rFonts w:hint="eastAsia" w:ascii="宋体" w:hAnsi="宋体" w:eastAsia="宋体" w:cs="宋体"/>
          <w:color w:val="333333"/>
          <w:kern w:val="0"/>
          <w:sz w:val="28"/>
          <w:szCs w:val="28"/>
          <w:highlight w:val="none"/>
          <w:lang w:bidi="ar"/>
        </w:rPr>
        <w:t>202</w:t>
      </w:r>
      <w:r>
        <w:rPr>
          <w:rFonts w:hint="eastAsia" w:ascii="宋体" w:hAnsi="宋体" w:eastAsia="宋体" w:cs="宋体"/>
          <w:color w:val="333333"/>
          <w:kern w:val="0"/>
          <w:sz w:val="28"/>
          <w:szCs w:val="28"/>
          <w:highlight w:val="none"/>
          <w:lang w:val="en-US" w:eastAsia="zh-CN" w:bidi="ar"/>
        </w:rPr>
        <w:t>6</w:t>
      </w:r>
      <w:r>
        <w:rPr>
          <w:rFonts w:hint="eastAsia" w:ascii="宋体" w:hAnsi="宋体" w:eastAsia="宋体" w:cs="宋体"/>
          <w:color w:val="333333"/>
          <w:kern w:val="0"/>
          <w:sz w:val="28"/>
          <w:szCs w:val="28"/>
          <w:highlight w:val="none"/>
          <w:lang w:bidi="ar"/>
        </w:rPr>
        <w:t>学年第二学期开学前至工商管理学院官网-本科教育查看。</w:t>
      </w:r>
    </w:p>
    <w:p w14:paraId="21715028">
      <w:pPr>
        <w:rPr>
          <w:rFonts w:ascii="宋体" w:hAnsi="宋体" w:eastAsia="宋体"/>
          <w:b/>
          <w:bCs/>
          <w:sz w:val="28"/>
          <w:szCs w:val="28"/>
          <w:highlight w:val="none"/>
        </w:rPr>
      </w:pPr>
      <w:r>
        <w:rPr>
          <w:rFonts w:hint="eastAsia" w:ascii="宋体" w:hAnsi="宋体" w:eastAsia="宋体"/>
          <w:b/>
          <w:bCs/>
          <w:sz w:val="28"/>
          <w:szCs w:val="28"/>
          <w:highlight w:val="none"/>
          <w:lang w:val="en-US" w:eastAsia="zh-CN"/>
        </w:rPr>
        <w:t>八</w:t>
      </w:r>
      <w:r>
        <w:rPr>
          <w:rFonts w:hint="eastAsia" w:ascii="宋体" w:hAnsi="宋体" w:eastAsia="宋体"/>
          <w:b/>
          <w:bCs/>
          <w:sz w:val="28"/>
          <w:szCs w:val="28"/>
          <w:highlight w:val="none"/>
        </w:rPr>
        <w:t>、课程设置</w:t>
      </w:r>
    </w:p>
    <w:p w14:paraId="39141313">
      <w:pPr>
        <w:jc w:val="center"/>
        <w:rPr>
          <w:rFonts w:hint="eastAsia" w:ascii="宋体" w:hAnsi="宋体" w:eastAsia="宋体"/>
          <w:b/>
          <w:bCs/>
          <w:sz w:val="24"/>
          <w:szCs w:val="24"/>
          <w:highlight w:val="none"/>
        </w:rPr>
      </w:pPr>
      <w:r>
        <w:rPr>
          <w:rFonts w:hint="eastAsia" w:ascii="宋体" w:hAnsi="宋体" w:eastAsia="宋体"/>
          <w:b/>
          <w:bCs/>
          <w:sz w:val="24"/>
          <w:szCs w:val="24"/>
          <w:highlight w:val="none"/>
        </w:rPr>
        <w:t>表</w:t>
      </w:r>
      <w:r>
        <w:rPr>
          <w:rFonts w:ascii="宋体" w:hAnsi="宋体" w:eastAsia="宋体"/>
          <w:b/>
          <w:bCs/>
          <w:sz w:val="24"/>
          <w:szCs w:val="24"/>
          <w:highlight w:val="none"/>
        </w:rPr>
        <w:t xml:space="preserve">1 </w:t>
      </w:r>
      <w:r>
        <w:rPr>
          <w:rFonts w:hint="eastAsia" w:ascii="宋体" w:hAnsi="宋体" w:eastAsia="宋体"/>
          <w:b/>
          <w:bCs/>
          <w:sz w:val="24"/>
          <w:szCs w:val="24"/>
          <w:highlight w:val="none"/>
        </w:rPr>
        <w:t>微专业课程设置</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3731"/>
        <w:gridCol w:w="1841"/>
        <w:gridCol w:w="799"/>
        <w:gridCol w:w="880"/>
      </w:tblGrid>
      <w:tr w14:paraId="556E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Align w:val="center"/>
          </w:tcPr>
          <w:p w14:paraId="54C6B04E">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学期</w:t>
            </w:r>
          </w:p>
        </w:tc>
        <w:tc>
          <w:tcPr>
            <w:tcW w:w="2189" w:type="pct"/>
            <w:vAlign w:val="center"/>
          </w:tcPr>
          <w:p w14:paraId="6566948C">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课程名称</w:t>
            </w:r>
          </w:p>
        </w:tc>
        <w:tc>
          <w:tcPr>
            <w:tcW w:w="1080" w:type="pct"/>
            <w:vAlign w:val="center"/>
          </w:tcPr>
          <w:p w14:paraId="2B5DB480">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教学方式</w:t>
            </w:r>
          </w:p>
        </w:tc>
        <w:tc>
          <w:tcPr>
            <w:tcW w:w="469" w:type="pct"/>
            <w:vAlign w:val="center"/>
          </w:tcPr>
          <w:p w14:paraId="44E24CB8">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课时</w:t>
            </w:r>
          </w:p>
        </w:tc>
        <w:tc>
          <w:tcPr>
            <w:tcW w:w="516" w:type="pct"/>
            <w:vAlign w:val="center"/>
          </w:tcPr>
          <w:p w14:paraId="38A60DDB">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学分</w:t>
            </w:r>
          </w:p>
        </w:tc>
      </w:tr>
      <w:tr w14:paraId="1467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restart"/>
            <w:vAlign w:val="center"/>
          </w:tcPr>
          <w:p w14:paraId="03261BBC">
            <w:pPr>
              <w:jc w:val="center"/>
              <w:rPr>
                <w:rFonts w:ascii="仿宋" w:hAnsi="仿宋" w:eastAsia="仿宋" w:cs="仿宋"/>
                <w:sz w:val="24"/>
                <w:szCs w:val="24"/>
                <w:highlight w:val="none"/>
              </w:rPr>
            </w:pPr>
            <w:r>
              <w:rPr>
                <w:rFonts w:hint="eastAsia" w:ascii="仿宋" w:hAnsi="仿宋" w:eastAsia="仿宋" w:cs="仿宋"/>
                <w:sz w:val="24"/>
                <w:szCs w:val="24"/>
                <w:highlight w:val="none"/>
              </w:rPr>
              <w:t>第一学期</w:t>
            </w:r>
          </w:p>
        </w:tc>
        <w:tc>
          <w:tcPr>
            <w:tcW w:w="2189" w:type="pct"/>
            <w:vAlign w:val="center"/>
          </w:tcPr>
          <w:p w14:paraId="6802BD02">
            <w:pPr>
              <w:jc w:val="center"/>
              <w:rPr>
                <w:rFonts w:ascii="仿宋" w:hAnsi="仿宋" w:eastAsia="仿宋" w:cs="仿宋"/>
                <w:sz w:val="24"/>
                <w:szCs w:val="24"/>
                <w:highlight w:val="none"/>
              </w:rPr>
            </w:pPr>
            <w:r>
              <w:rPr>
                <w:rFonts w:hint="eastAsia" w:ascii="仿宋" w:hAnsi="仿宋" w:eastAsia="仿宋" w:cs="仿宋"/>
                <w:sz w:val="24"/>
                <w:szCs w:val="24"/>
                <w:highlight w:val="none"/>
              </w:rPr>
              <w:t>数字平台商业模式</w:t>
            </w:r>
          </w:p>
        </w:tc>
        <w:tc>
          <w:tcPr>
            <w:tcW w:w="1080" w:type="pct"/>
          </w:tcPr>
          <w:p w14:paraId="4C19DB08">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线下</w:t>
            </w:r>
          </w:p>
        </w:tc>
        <w:tc>
          <w:tcPr>
            <w:tcW w:w="469" w:type="pct"/>
            <w:vAlign w:val="center"/>
          </w:tcPr>
          <w:p w14:paraId="16F4A291">
            <w:pPr>
              <w:jc w:val="center"/>
              <w:rPr>
                <w:rFonts w:ascii="仿宋" w:hAnsi="仿宋" w:eastAsia="仿宋" w:cs="仿宋"/>
                <w:sz w:val="24"/>
                <w:szCs w:val="24"/>
                <w:highlight w:val="none"/>
              </w:rPr>
            </w:pPr>
            <w:r>
              <w:rPr>
                <w:rFonts w:hint="eastAsia" w:ascii="仿宋" w:hAnsi="仿宋" w:eastAsia="仿宋" w:cs="仿宋"/>
                <w:sz w:val="24"/>
                <w:szCs w:val="24"/>
                <w:highlight w:val="none"/>
              </w:rPr>
              <w:t>3</w:t>
            </w:r>
            <w:r>
              <w:rPr>
                <w:rFonts w:ascii="仿宋" w:hAnsi="仿宋" w:eastAsia="仿宋" w:cs="仿宋"/>
                <w:sz w:val="24"/>
                <w:szCs w:val="24"/>
                <w:highlight w:val="none"/>
              </w:rPr>
              <w:t>2</w:t>
            </w:r>
          </w:p>
        </w:tc>
        <w:tc>
          <w:tcPr>
            <w:tcW w:w="516" w:type="pct"/>
            <w:vAlign w:val="center"/>
          </w:tcPr>
          <w:p w14:paraId="420D544A">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14:paraId="30B6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continue"/>
            <w:vAlign w:val="center"/>
          </w:tcPr>
          <w:p w14:paraId="612F00C8">
            <w:pPr>
              <w:jc w:val="center"/>
              <w:rPr>
                <w:rFonts w:ascii="仿宋" w:hAnsi="仿宋" w:eastAsia="仿宋" w:cs="仿宋"/>
                <w:sz w:val="24"/>
                <w:szCs w:val="24"/>
                <w:highlight w:val="none"/>
              </w:rPr>
            </w:pPr>
          </w:p>
        </w:tc>
        <w:tc>
          <w:tcPr>
            <w:tcW w:w="2189" w:type="pct"/>
            <w:vAlign w:val="center"/>
          </w:tcPr>
          <w:p w14:paraId="633DDD35">
            <w:pPr>
              <w:jc w:val="center"/>
              <w:rPr>
                <w:rFonts w:ascii="仿宋" w:hAnsi="仿宋" w:eastAsia="仿宋" w:cs="仿宋"/>
                <w:sz w:val="24"/>
                <w:szCs w:val="24"/>
                <w:highlight w:val="none"/>
              </w:rPr>
            </w:pPr>
            <w:r>
              <w:rPr>
                <w:rFonts w:hint="eastAsia" w:ascii="仿宋" w:hAnsi="仿宋" w:eastAsia="仿宋" w:cs="仿宋"/>
                <w:sz w:val="24"/>
                <w:szCs w:val="24"/>
                <w:highlight w:val="none"/>
              </w:rPr>
              <w:t>数智化时代的组</w:t>
            </w:r>
            <w:bookmarkStart w:id="0" w:name="OLE_LINK1"/>
            <w:r>
              <w:rPr>
                <w:rFonts w:hint="eastAsia" w:ascii="仿宋" w:hAnsi="仿宋" w:eastAsia="仿宋" w:cs="仿宋"/>
                <w:sz w:val="24"/>
                <w:szCs w:val="24"/>
                <w:highlight w:val="none"/>
              </w:rPr>
              <w:t>织变</w:t>
            </w:r>
            <w:bookmarkEnd w:id="0"/>
            <w:r>
              <w:rPr>
                <w:rFonts w:hint="eastAsia" w:ascii="仿宋" w:hAnsi="仿宋" w:eastAsia="仿宋" w:cs="仿宋"/>
                <w:sz w:val="24"/>
                <w:szCs w:val="24"/>
                <w:highlight w:val="none"/>
              </w:rPr>
              <w:t>革</w:t>
            </w:r>
          </w:p>
        </w:tc>
        <w:tc>
          <w:tcPr>
            <w:tcW w:w="1080" w:type="pct"/>
            <w:vAlign w:val="center"/>
          </w:tcPr>
          <w:p w14:paraId="575C3150">
            <w:pPr>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线下</w:t>
            </w:r>
          </w:p>
        </w:tc>
        <w:tc>
          <w:tcPr>
            <w:tcW w:w="469" w:type="pct"/>
            <w:vAlign w:val="center"/>
          </w:tcPr>
          <w:p w14:paraId="06DCBBF5">
            <w:pPr>
              <w:jc w:val="center"/>
              <w:rPr>
                <w:rFonts w:ascii="仿宋" w:hAnsi="仿宋" w:eastAsia="仿宋" w:cs="仿宋"/>
                <w:sz w:val="24"/>
                <w:szCs w:val="24"/>
                <w:highlight w:val="none"/>
              </w:rPr>
            </w:pPr>
            <w:r>
              <w:rPr>
                <w:rFonts w:hint="eastAsia" w:ascii="仿宋" w:hAnsi="仿宋" w:eastAsia="仿宋" w:cs="仿宋"/>
                <w:sz w:val="24"/>
                <w:szCs w:val="24"/>
                <w:highlight w:val="none"/>
              </w:rPr>
              <w:t>32</w:t>
            </w:r>
          </w:p>
        </w:tc>
        <w:tc>
          <w:tcPr>
            <w:tcW w:w="516" w:type="pct"/>
            <w:vAlign w:val="center"/>
          </w:tcPr>
          <w:p w14:paraId="5D235D13">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14:paraId="69E3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continue"/>
            <w:vAlign w:val="center"/>
          </w:tcPr>
          <w:p w14:paraId="669E7833">
            <w:pPr>
              <w:jc w:val="center"/>
              <w:rPr>
                <w:rFonts w:ascii="仿宋" w:hAnsi="仿宋" w:eastAsia="仿宋" w:cs="仿宋"/>
                <w:sz w:val="24"/>
                <w:szCs w:val="24"/>
                <w:highlight w:val="none"/>
              </w:rPr>
            </w:pPr>
          </w:p>
        </w:tc>
        <w:tc>
          <w:tcPr>
            <w:tcW w:w="2189" w:type="pct"/>
            <w:vAlign w:val="center"/>
          </w:tcPr>
          <w:p w14:paraId="68761CBC">
            <w:pPr>
              <w:jc w:val="center"/>
              <w:rPr>
                <w:rFonts w:ascii="仿宋" w:hAnsi="仿宋" w:eastAsia="仿宋" w:cs="仿宋"/>
                <w:sz w:val="24"/>
                <w:szCs w:val="24"/>
                <w:highlight w:val="none"/>
              </w:rPr>
            </w:pPr>
            <w:r>
              <w:rPr>
                <w:rFonts w:hint="eastAsia" w:ascii="仿宋" w:hAnsi="仿宋" w:eastAsia="仿宋" w:cs="仿宋"/>
                <w:sz w:val="24"/>
                <w:szCs w:val="24"/>
                <w:highlight w:val="none"/>
              </w:rPr>
              <w:t>数字供应链管理与商业模式创新</w:t>
            </w:r>
            <w:r>
              <w:rPr>
                <w:rFonts w:ascii="仿宋" w:hAnsi="仿宋" w:eastAsia="仿宋" w:cs="仿宋"/>
                <w:sz w:val="24"/>
                <w:szCs w:val="24"/>
                <w:highlight w:val="none"/>
              </w:rPr>
              <w:t xml:space="preserve"> </w:t>
            </w:r>
          </w:p>
        </w:tc>
        <w:tc>
          <w:tcPr>
            <w:tcW w:w="1080" w:type="pct"/>
            <w:vAlign w:val="top"/>
          </w:tcPr>
          <w:p w14:paraId="16393AD5">
            <w:pPr>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线下</w:t>
            </w:r>
          </w:p>
        </w:tc>
        <w:tc>
          <w:tcPr>
            <w:tcW w:w="469" w:type="pct"/>
            <w:vAlign w:val="center"/>
          </w:tcPr>
          <w:p w14:paraId="2C92AB63">
            <w:pPr>
              <w:jc w:val="center"/>
              <w:rPr>
                <w:rFonts w:ascii="仿宋" w:hAnsi="仿宋" w:eastAsia="仿宋" w:cs="仿宋"/>
                <w:sz w:val="24"/>
                <w:szCs w:val="24"/>
                <w:highlight w:val="none"/>
              </w:rPr>
            </w:pPr>
            <w:r>
              <w:rPr>
                <w:rFonts w:hint="eastAsia" w:ascii="仿宋" w:hAnsi="仿宋" w:eastAsia="仿宋" w:cs="仿宋"/>
                <w:sz w:val="24"/>
                <w:szCs w:val="24"/>
                <w:highlight w:val="none"/>
              </w:rPr>
              <w:t>32</w:t>
            </w:r>
          </w:p>
        </w:tc>
        <w:tc>
          <w:tcPr>
            <w:tcW w:w="516" w:type="pct"/>
            <w:vAlign w:val="center"/>
          </w:tcPr>
          <w:p w14:paraId="11C5BCAD">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14:paraId="4A2A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continue"/>
            <w:vAlign w:val="center"/>
          </w:tcPr>
          <w:p w14:paraId="66F3E913">
            <w:pPr>
              <w:jc w:val="center"/>
              <w:rPr>
                <w:rFonts w:ascii="仿宋" w:hAnsi="仿宋" w:eastAsia="仿宋" w:cs="仿宋"/>
                <w:sz w:val="24"/>
                <w:szCs w:val="24"/>
                <w:highlight w:val="none"/>
              </w:rPr>
            </w:pPr>
          </w:p>
        </w:tc>
        <w:tc>
          <w:tcPr>
            <w:tcW w:w="2189" w:type="pct"/>
            <w:vAlign w:val="center"/>
          </w:tcPr>
          <w:p w14:paraId="3641648E">
            <w:pPr>
              <w:jc w:val="center"/>
              <w:rPr>
                <w:rFonts w:ascii="仿宋" w:hAnsi="仿宋" w:eastAsia="仿宋" w:cs="仿宋"/>
                <w:sz w:val="24"/>
                <w:szCs w:val="24"/>
                <w:highlight w:val="none"/>
              </w:rPr>
            </w:pPr>
            <w:r>
              <w:rPr>
                <w:rFonts w:hint="eastAsia" w:ascii="仿宋" w:hAnsi="仿宋" w:eastAsia="仿宋" w:cs="仿宋"/>
                <w:sz w:val="24"/>
                <w:szCs w:val="24"/>
                <w:highlight w:val="none"/>
              </w:rPr>
              <w:t>数据资产管理</w:t>
            </w:r>
          </w:p>
        </w:tc>
        <w:tc>
          <w:tcPr>
            <w:tcW w:w="1841" w:type="dxa"/>
            <w:vAlign w:val="top"/>
          </w:tcPr>
          <w:p w14:paraId="05BB6F96">
            <w:pPr>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线下</w:t>
            </w:r>
          </w:p>
        </w:tc>
        <w:tc>
          <w:tcPr>
            <w:tcW w:w="469" w:type="pct"/>
            <w:vAlign w:val="center"/>
          </w:tcPr>
          <w:p w14:paraId="02B4725C">
            <w:pPr>
              <w:jc w:val="center"/>
              <w:rPr>
                <w:rFonts w:ascii="仿宋" w:hAnsi="仿宋" w:eastAsia="仿宋" w:cs="仿宋"/>
                <w:sz w:val="24"/>
                <w:szCs w:val="24"/>
                <w:highlight w:val="none"/>
              </w:rPr>
            </w:pPr>
            <w:r>
              <w:rPr>
                <w:rFonts w:hint="eastAsia" w:ascii="仿宋" w:hAnsi="仿宋" w:eastAsia="仿宋" w:cs="仿宋"/>
                <w:sz w:val="24"/>
                <w:szCs w:val="24"/>
                <w:highlight w:val="none"/>
              </w:rPr>
              <w:t>32</w:t>
            </w:r>
          </w:p>
        </w:tc>
        <w:tc>
          <w:tcPr>
            <w:tcW w:w="516" w:type="pct"/>
            <w:vAlign w:val="center"/>
          </w:tcPr>
          <w:p w14:paraId="5F93F4FC">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14:paraId="1078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restart"/>
            <w:vAlign w:val="center"/>
          </w:tcPr>
          <w:p w14:paraId="51BC7FE8">
            <w:pPr>
              <w:jc w:val="center"/>
              <w:rPr>
                <w:rFonts w:ascii="仿宋" w:hAnsi="仿宋" w:eastAsia="仿宋" w:cs="仿宋"/>
                <w:sz w:val="24"/>
                <w:szCs w:val="24"/>
                <w:highlight w:val="none"/>
              </w:rPr>
            </w:pPr>
            <w:r>
              <w:rPr>
                <w:rFonts w:hint="eastAsia" w:ascii="仿宋" w:hAnsi="仿宋" w:eastAsia="仿宋" w:cs="仿宋"/>
                <w:sz w:val="24"/>
                <w:szCs w:val="24"/>
                <w:highlight w:val="none"/>
              </w:rPr>
              <w:t>第二学期</w:t>
            </w:r>
          </w:p>
        </w:tc>
        <w:tc>
          <w:tcPr>
            <w:tcW w:w="2189" w:type="pct"/>
            <w:vAlign w:val="center"/>
          </w:tcPr>
          <w:p w14:paraId="4783CC82">
            <w:pPr>
              <w:jc w:val="center"/>
              <w:rPr>
                <w:rFonts w:ascii="仿宋" w:hAnsi="仿宋" w:eastAsia="仿宋" w:cs="仿宋"/>
                <w:sz w:val="24"/>
                <w:szCs w:val="24"/>
                <w:highlight w:val="none"/>
              </w:rPr>
            </w:pPr>
            <w:r>
              <w:rPr>
                <w:rFonts w:hint="eastAsia" w:ascii="仿宋" w:hAnsi="仿宋" w:eastAsia="仿宋" w:cs="仿宋"/>
                <w:sz w:val="24"/>
                <w:szCs w:val="24"/>
                <w:highlight w:val="none"/>
              </w:rPr>
              <w:t>智能制造与数智化转型</w:t>
            </w:r>
          </w:p>
        </w:tc>
        <w:tc>
          <w:tcPr>
            <w:tcW w:w="1841" w:type="dxa"/>
            <w:shd w:val="clear" w:color="auto" w:fill="auto"/>
            <w:vAlign w:val="center"/>
          </w:tcPr>
          <w:p w14:paraId="26498047">
            <w:p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线下</w:t>
            </w:r>
          </w:p>
        </w:tc>
        <w:tc>
          <w:tcPr>
            <w:tcW w:w="469" w:type="pct"/>
            <w:vAlign w:val="center"/>
          </w:tcPr>
          <w:p w14:paraId="6CCAF098">
            <w:pPr>
              <w:jc w:val="center"/>
              <w:rPr>
                <w:rFonts w:ascii="仿宋" w:hAnsi="仿宋" w:eastAsia="仿宋" w:cs="仿宋"/>
                <w:sz w:val="24"/>
                <w:szCs w:val="24"/>
                <w:highlight w:val="none"/>
              </w:rPr>
            </w:pPr>
            <w:r>
              <w:rPr>
                <w:rFonts w:hint="eastAsia" w:ascii="仿宋" w:hAnsi="仿宋" w:eastAsia="仿宋" w:cs="仿宋"/>
                <w:sz w:val="24"/>
                <w:szCs w:val="24"/>
                <w:highlight w:val="none"/>
              </w:rPr>
              <w:t>32</w:t>
            </w:r>
          </w:p>
        </w:tc>
        <w:tc>
          <w:tcPr>
            <w:tcW w:w="516" w:type="pct"/>
            <w:vAlign w:val="center"/>
          </w:tcPr>
          <w:p w14:paraId="407CD807">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14:paraId="2C89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continue"/>
            <w:vAlign w:val="center"/>
          </w:tcPr>
          <w:p w14:paraId="72F23C7B">
            <w:pPr>
              <w:jc w:val="center"/>
              <w:rPr>
                <w:rFonts w:ascii="仿宋" w:hAnsi="仿宋" w:eastAsia="仿宋" w:cs="仿宋"/>
                <w:sz w:val="24"/>
                <w:szCs w:val="24"/>
                <w:highlight w:val="none"/>
              </w:rPr>
            </w:pPr>
          </w:p>
        </w:tc>
        <w:tc>
          <w:tcPr>
            <w:tcW w:w="2189" w:type="pct"/>
            <w:vAlign w:val="center"/>
          </w:tcPr>
          <w:p w14:paraId="52072BC0">
            <w:pPr>
              <w:jc w:val="center"/>
              <w:rPr>
                <w:rFonts w:ascii="仿宋" w:hAnsi="仿宋" w:eastAsia="仿宋" w:cs="仿宋"/>
                <w:sz w:val="24"/>
                <w:szCs w:val="24"/>
                <w:highlight w:val="none"/>
              </w:rPr>
            </w:pPr>
            <w:r>
              <w:rPr>
                <w:rFonts w:hint="eastAsia" w:ascii="仿宋" w:hAnsi="仿宋" w:eastAsia="仿宋" w:cs="仿宋"/>
                <w:sz w:val="24"/>
                <w:szCs w:val="24"/>
                <w:highlight w:val="none"/>
              </w:rPr>
              <w:t>数字媒体与营销变革</w:t>
            </w:r>
          </w:p>
        </w:tc>
        <w:tc>
          <w:tcPr>
            <w:tcW w:w="1841" w:type="dxa"/>
            <w:shd w:val="clear" w:color="auto" w:fill="auto"/>
            <w:vAlign w:val="top"/>
          </w:tcPr>
          <w:p w14:paraId="6ECBB20F">
            <w:pPr>
              <w:jc w:val="center"/>
              <w:rPr>
                <w:rFonts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线下</w:t>
            </w:r>
          </w:p>
        </w:tc>
        <w:tc>
          <w:tcPr>
            <w:tcW w:w="469" w:type="pct"/>
            <w:vAlign w:val="center"/>
          </w:tcPr>
          <w:p w14:paraId="177ADAF8">
            <w:pPr>
              <w:jc w:val="center"/>
              <w:rPr>
                <w:rFonts w:ascii="仿宋" w:hAnsi="仿宋" w:eastAsia="仿宋" w:cs="仿宋"/>
                <w:sz w:val="24"/>
                <w:szCs w:val="24"/>
                <w:highlight w:val="none"/>
              </w:rPr>
            </w:pPr>
            <w:r>
              <w:rPr>
                <w:rFonts w:hint="eastAsia" w:ascii="仿宋" w:hAnsi="仿宋" w:eastAsia="仿宋" w:cs="仿宋"/>
                <w:sz w:val="24"/>
                <w:szCs w:val="24"/>
                <w:highlight w:val="none"/>
              </w:rPr>
              <w:t>32</w:t>
            </w:r>
          </w:p>
        </w:tc>
        <w:tc>
          <w:tcPr>
            <w:tcW w:w="516" w:type="pct"/>
            <w:vAlign w:val="center"/>
          </w:tcPr>
          <w:p w14:paraId="5F2F16C3">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14:paraId="3440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continue"/>
            <w:vAlign w:val="center"/>
          </w:tcPr>
          <w:p w14:paraId="3258BCF1">
            <w:pPr>
              <w:jc w:val="center"/>
              <w:rPr>
                <w:rFonts w:ascii="仿宋" w:hAnsi="仿宋" w:eastAsia="仿宋" w:cs="仿宋"/>
                <w:sz w:val="24"/>
                <w:szCs w:val="24"/>
                <w:highlight w:val="none"/>
              </w:rPr>
            </w:pPr>
          </w:p>
        </w:tc>
        <w:tc>
          <w:tcPr>
            <w:tcW w:w="2189" w:type="pct"/>
            <w:vAlign w:val="center"/>
          </w:tcPr>
          <w:p w14:paraId="11553F6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商业智能与商业分析导论</w:t>
            </w:r>
          </w:p>
        </w:tc>
        <w:tc>
          <w:tcPr>
            <w:tcW w:w="1841" w:type="dxa"/>
            <w:shd w:val="clear" w:color="auto" w:fill="auto"/>
            <w:vAlign w:val="center"/>
          </w:tcPr>
          <w:p w14:paraId="0E6ECBDC">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线下</w:t>
            </w:r>
            <w:bookmarkStart w:id="1" w:name="_GoBack"/>
            <w:bookmarkEnd w:id="1"/>
          </w:p>
        </w:tc>
        <w:tc>
          <w:tcPr>
            <w:tcW w:w="469" w:type="pct"/>
            <w:vAlign w:val="center"/>
          </w:tcPr>
          <w:p w14:paraId="4B8F5E2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w:t>
            </w:r>
          </w:p>
        </w:tc>
        <w:tc>
          <w:tcPr>
            <w:tcW w:w="516" w:type="pct"/>
            <w:vAlign w:val="center"/>
          </w:tcPr>
          <w:p w14:paraId="561D11C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r>
      <w:tr w14:paraId="49F4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continue"/>
            <w:vAlign w:val="center"/>
          </w:tcPr>
          <w:p w14:paraId="3A5EEBD6">
            <w:pPr>
              <w:jc w:val="center"/>
              <w:rPr>
                <w:rFonts w:ascii="仿宋" w:hAnsi="仿宋" w:eastAsia="仿宋" w:cs="仿宋"/>
                <w:sz w:val="24"/>
                <w:szCs w:val="24"/>
                <w:highlight w:val="none"/>
              </w:rPr>
            </w:pPr>
          </w:p>
        </w:tc>
        <w:tc>
          <w:tcPr>
            <w:tcW w:w="2189" w:type="pct"/>
            <w:vAlign w:val="center"/>
          </w:tcPr>
          <w:p w14:paraId="668A4CAD">
            <w:pPr>
              <w:jc w:val="center"/>
              <w:rPr>
                <w:rFonts w:ascii="仿宋" w:hAnsi="仿宋" w:eastAsia="仿宋" w:cs="仿宋"/>
                <w:sz w:val="24"/>
                <w:szCs w:val="24"/>
                <w:highlight w:val="none"/>
              </w:rPr>
            </w:pPr>
            <w:r>
              <w:rPr>
                <w:rFonts w:hint="eastAsia" w:ascii="仿宋" w:hAnsi="仿宋" w:eastAsia="仿宋" w:cs="仿宋"/>
                <w:sz w:val="24"/>
                <w:szCs w:val="24"/>
                <w:highlight w:val="none"/>
              </w:rPr>
              <w:t>数字平台与反垄断规制</w:t>
            </w:r>
          </w:p>
        </w:tc>
        <w:tc>
          <w:tcPr>
            <w:tcW w:w="1841" w:type="dxa"/>
            <w:shd w:val="clear" w:color="auto" w:fill="auto"/>
            <w:vAlign w:val="top"/>
          </w:tcPr>
          <w:p w14:paraId="62AC842E">
            <w:pPr>
              <w:jc w:val="center"/>
              <w:rPr>
                <w:rFonts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线下</w:t>
            </w:r>
          </w:p>
        </w:tc>
        <w:tc>
          <w:tcPr>
            <w:tcW w:w="469" w:type="pct"/>
            <w:vAlign w:val="center"/>
          </w:tcPr>
          <w:p w14:paraId="0F57B1CE">
            <w:pPr>
              <w:jc w:val="center"/>
              <w:rPr>
                <w:rFonts w:ascii="仿宋" w:hAnsi="仿宋" w:eastAsia="仿宋" w:cs="仿宋"/>
                <w:sz w:val="24"/>
                <w:szCs w:val="24"/>
                <w:highlight w:val="none"/>
              </w:rPr>
            </w:pPr>
            <w:r>
              <w:rPr>
                <w:rFonts w:hint="eastAsia" w:ascii="仿宋" w:hAnsi="仿宋" w:eastAsia="仿宋" w:cs="仿宋"/>
                <w:sz w:val="24"/>
                <w:szCs w:val="24"/>
                <w:highlight w:val="none"/>
              </w:rPr>
              <w:t>32</w:t>
            </w:r>
          </w:p>
        </w:tc>
        <w:tc>
          <w:tcPr>
            <w:tcW w:w="516" w:type="pct"/>
            <w:vAlign w:val="center"/>
          </w:tcPr>
          <w:p w14:paraId="324CDE30">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bl>
    <w:p w14:paraId="7ADC30C7">
      <w:pPr>
        <w:jc w:val="center"/>
        <w:rPr>
          <w:rFonts w:ascii="宋体" w:hAnsi="宋体" w:eastAsia="宋体"/>
          <w:b/>
          <w:bCs/>
          <w:sz w:val="24"/>
          <w:szCs w:val="24"/>
          <w:highlight w:val="none"/>
        </w:rPr>
      </w:pPr>
    </w:p>
    <w:p w14:paraId="38D479B7">
      <w:pPr>
        <w:jc w:val="center"/>
        <w:rPr>
          <w:rFonts w:ascii="宋体" w:hAnsi="宋体" w:eastAsia="宋体"/>
          <w:b/>
          <w:bCs/>
          <w:sz w:val="24"/>
          <w:szCs w:val="24"/>
          <w:highlight w:val="none"/>
        </w:rPr>
      </w:pPr>
      <w:r>
        <w:rPr>
          <w:rFonts w:hint="eastAsia" w:ascii="宋体" w:hAnsi="宋体" w:eastAsia="宋体"/>
          <w:b/>
          <w:bCs/>
          <w:sz w:val="24"/>
          <w:szCs w:val="24"/>
          <w:highlight w:val="none"/>
        </w:rPr>
        <w:t>表2</w:t>
      </w:r>
      <w:r>
        <w:rPr>
          <w:rFonts w:ascii="宋体" w:hAnsi="宋体" w:eastAsia="宋体"/>
          <w:b/>
          <w:bCs/>
          <w:sz w:val="24"/>
          <w:szCs w:val="24"/>
          <w:highlight w:val="none"/>
        </w:rPr>
        <w:t xml:space="preserve"> </w:t>
      </w:r>
      <w:r>
        <w:rPr>
          <w:rFonts w:hint="eastAsia" w:ascii="宋体" w:hAnsi="宋体" w:eastAsia="宋体"/>
          <w:b/>
          <w:bCs/>
          <w:sz w:val="24"/>
          <w:szCs w:val="24"/>
          <w:highlight w:val="none"/>
        </w:rPr>
        <w:t>微专业课程详细介绍</w:t>
      </w:r>
    </w:p>
    <w:tbl>
      <w:tblPr>
        <w:tblStyle w:val="9"/>
        <w:tblW w:w="5895"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2767"/>
        <w:gridCol w:w="2914"/>
        <w:gridCol w:w="2474"/>
      </w:tblGrid>
      <w:tr w14:paraId="53BF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 w:type="pct"/>
            <w:vAlign w:val="center"/>
          </w:tcPr>
          <w:p w14:paraId="36C224E7">
            <w:pPr>
              <w:jc w:val="center"/>
              <w:rPr>
                <w:rFonts w:ascii="宋体" w:hAnsi="宋体" w:eastAsia="宋体" w:cs="宋体"/>
                <w:b/>
                <w:bCs/>
                <w:szCs w:val="21"/>
                <w:highlight w:val="none"/>
              </w:rPr>
            </w:pPr>
            <w:r>
              <w:rPr>
                <w:rFonts w:hint="eastAsia" w:ascii="宋体" w:hAnsi="宋体" w:eastAsia="宋体" w:cs="宋体"/>
                <w:b/>
                <w:bCs/>
                <w:szCs w:val="21"/>
                <w:highlight w:val="none"/>
              </w:rPr>
              <w:t>课程名称</w:t>
            </w:r>
          </w:p>
        </w:tc>
        <w:tc>
          <w:tcPr>
            <w:tcW w:w="1377" w:type="pct"/>
            <w:vAlign w:val="center"/>
          </w:tcPr>
          <w:p w14:paraId="510E738E">
            <w:pPr>
              <w:jc w:val="center"/>
              <w:rPr>
                <w:rFonts w:ascii="宋体" w:hAnsi="宋体" w:eastAsia="宋体" w:cs="宋体"/>
                <w:b/>
                <w:bCs/>
                <w:szCs w:val="21"/>
                <w:highlight w:val="none"/>
              </w:rPr>
            </w:pPr>
            <w:r>
              <w:rPr>
                <w:rFonts w:hint="eastAsia" w:ascii="宋体" w:hAnsi="宋体" w:eastAsia="宋体" w:cs="宋体"/>
                <w:b/>
                <w:bCs/>
                <w:szCs w:val="21"/>
                <w:highlight w:val="none"/>
              </w:rPr>
              <w:t>课程模块</w:t>
            </w:r>
          </w:p>
        </w:tc>
        <w:tc>
          <w:tcPr>
            <w:tcW w:w="1450" w:type="pct"/>
            <w:vAlign w:val="center"/>
          </w:tcPr>
          <w:p w14:paraId="3273ECEC">
            <w:pPr>
              <w:jc w:val="center"/>
              <w:rPr>
                <w:rFonts w:ascii="宋体" w:hAnsi="宋体" w:eastAsia="宋体" w:cs="宋体"/>
                <w:b/>
                <w:bCs/>
                <w:szCs w:val="21"/>
                <w:highlight w:val="none"/>
              </w:rPr>
            </w:pPr>
            <w:r>
              <w:rPr>
                <w:rFonts w:hint="eastAsia" w:ascii="宋体" w:hAnsi="宋体" w:eastAsia="宋体" w:cs="宋体"/>
                <w:b/>
                <w:bCs/>
                <w:szCs w:val="21"/>
                <w:highlight w:val="none"/>
              </w:rPr>
              <w:t>主要内容</w:t>
            </w:r>
          </w:p>
        </w:tc>
        <w:tc>
          <w:tcPr>
            <w:tcW w:w="1231" w:type="pct"/>
            <w:vAlign w:val="center"/>
          </w:tcPr>
          <w:p w14:paraId="2454E783">
            <w:pPr>
              <w:jc w:val="center"/>
              <w:rPr>
                <w:rFonts w:ascii="宋体" w:hAnsi="宋体" w:eastAsia="宋体" w:cs="宋体"/>
                <w:b/>
                <w:bCs/>
                <w:szCs w:val="21"/>
                <w:highlight w:val="none"/>
              </w:rPr>
            </w:pPr>
            <w:r>
              <w:rPr>
                <w:rFonts w:hint="eastAsia" w:ascii="宋体" w:hAnsi="宋体" w:eastAsia="宋体" w:cs="宋体"/>
                <w:b/>
                <w:bCs/>
                <w:szCs w:val="21"/>
                <w:highlight w:val="none"/>
              </w:rPr>
              <w:t>教学方式</w:t>
            </w:r>
          </w:p>
        </w:tc>
      </w:tr>
      <w:tr w14:paraId="2443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 w:type="pct"/>
            <w:vMerge w:val="restart"/>
            <w:vAlign w:val="center"/>
          </w:tcPr>
          <w:p w14:paraId="7D4B64D3">
            <w:pPr>
              <w:jc w:val="center"/>
              <w:rPr>
                <w:rFonts w:ascii="仿宋" w:hAnsi="仿宋" w:eastAsia="仿宋" w:cs="仿宋"/>
                <w:b/>
                <w:bCs/>
                <w:szCs w:val="21"/>
                <w:highlight w:val="none"/>
              </w:rPr>
            </w:pPr>
            <w:r>
              <w:rPr>
                <w:rFonts w:hint="eastAsia" w:ascii="仿宋" w:hAnsi="仿宋" w:eastAsia="仿宋" w:cs="仿宋"/>
                <w:b/>
                <w:bCs/>
                <w:szCs w:val="21"/>
                <w:highlight w:val="none"/>
              </w:rPr>
              <w:t>商业智能与商业分析导论</w:t>
            </w:r>
          </w:p>
        </w:tc>
        <w:tc>
          <w:tcPr>
            <w:tcW w:w="1377" w:type="pct"/>
            <w:vAlign w:val="center"/>
          </w:tcPr>
          <w:p w14:paraId="5067DC4D">
            <w:pPr>
              <w:jc w:val="center"/>
              <w:rPr>
                <w:rFonts w:ascii="仿宋" w:hAnsi="仿宋" w:eastAsia="仿宋" w:cs="仿宋"/>
                <w:szCs w:val="21"/>
                <w:highlight w:val="none"/>
              </w:rPr>
            </w:pPr>
            <w:r>
              <w:rPr>
                <w:rFonts w:hint="eastAsia" w:ascii="仿宋" w:hAnsi="仿宋" w:eastAsia="仿宋" w:cs="仿宋"/>
                <w:szCs w:val="21"/>
                <w:highlight w:val="none"/>
              </w:rPr>
              <w:t>模块1：商业智能分析导论（4课时）</w:t>
            </w:r>
          </w:p>
        </w:tc>
        <w:tc>
          <w:tcPr>
            <w:tcW w:w="1450" w:type="pct"/>
            <w:vAlign w:val="center"/>
          </w:tcPr>
          <w:p w14:paraId="3B7B544F">
            <w:pPr>
              <w:jc w:val="center"/>
              <w:rPr>
                <w:rFonts w:ascii="仿宋" w:hAnsi="仿宋" w:eastAsia="仿宋" w:cs="仿宋"/>
                <w:szCs w:val="21"/>
                <w:highlight w:val="none"/>
              </w:rPr>
            </w:pPr>
            <w:r>
              <w:rPr>
                <w:rFonts w:hint="eastAsia" w:ascii="仿宋" w:hAnsi="仿宋" w:eastAsia="仿宋" w:cs="仿宋"/>
                <w:szCs w:val="21"/>
                <w:highlight w:val="none"/>
              </w:rPr>
              <w:t>商业智能分析整体框架与对应方法简介</w:t>
            </w:r>
          </w:p>
        </w:tc>
        <w:tc>
          <w:tcPr>
            <w:tcW w:w="1231" w:type="pct"/>
            <w:vAlign w:val="center"/>
          </w:tcPr>
          <w:p w14:paraId="055E287B">
            <w:pPr>
              <w:jc w:val="center"/>
              <w:rPr>
                <w:rFonts w:ascii="仿宋" w:hAnsi="仿宋" w:eastAsia="仿宋" w:cs="仿宋"/>
                <w:szCs w:val="21"/>
                <w:highlight w:val="none"/>
              </w:rPr>
            </w:pPr>
            <w:r>
              <w:rPr>
                <w:rFonts w:hint="eastAsia" w:ascii="仿宋" w:hAnsi="仿宋" w:eastAsia="仿宋" w:cs="仿宋"/>
                <w:szCs w:val="21"/>
                <w:highlight w:val="none"/>
              </w:rPr>
              <w:t>课堂讲授</w:t>
            </w:r>
          </w:p>
        </w:tc>
      </w:tr>
      <w:tr w14:paraId="722B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 w:type="pct"/>
            <w:vMerge w:val="continue"/>
            <w:vAlign w:val="center"/>
          </w:tcPr>
          <w:p w14:paraId="3CCFA1A7">
            <w:pPr>
              <w:jc w:val="center"/>
              <w:rPr>
                <w:rFonts w:ascii="仿宋" w:hAnsi="仿宋" w:eastAsia="仿宋" w:cs="仿宋"/>
                <w:b/>
                <w:bCs/>
                <w:szCs w:val="21"/>
                <w:highlight w:val="none"/>
              </w:rPr>
            </w:pPr>
          </w:p>
        </w:tc>
        <w:tc>
          <w:tcPr>
            <w:tcW w:w="1377" w:type="pct"/>
            <w:vAlign w:val="center"/>
          </w:tcPr>
          <w:p w14:paraId="3A4BD8FA">
            <w:pPr>
              <w:jc w:val="center"/>
              <w:rPr>
                <w:rFonts w:ascii="仿宋" w:hAnsi="仿宋" w:eastAsia="仿宋" w:cs="仿宋"/>
                <w:szCs w:val="21"/>
                <w:highlight w:val="none"/>
              </w:rPr>
            </w:pPr>
            <w:r>
              <w:rPr>
                <w:rFonts w:hint="eastAsia" w:ascii="仿宋" w:hAnsi="仿宋" w:eastAsia="仿宋" w:cs="仿宋"/>
                <w:szCs w:val="21"/>
                <w:highlight w:val="none"/>
              </w:rPr>
              <w:t>模块2：商业分析建模</w:t>
            </w:r>
          </w:p>
          <w:p w14:paraId="047946F5">
            <w:pPr>
              <w:jc w:val="center"/>
              <w:rPr>
                <w:rFonts w:ascii="仿宋" w:hAnsi="仿宋" w:eastAsia="仿宋" w:cs="仿宋"/>
                <w:szCs w:val="21"/>
                <w:highlight w:val="none"/>
              </w:rPr>
            </w:pPr>
            <w:r>
              <w:rPr>
                <w:rFonts w:hint="eastAsia" w:ascii="仿宋" w:hAnsi="仿宋" w:eastAsia="仿宋" w:cs="仿宋"/>
                <w:szCs w:val="21"/>
                <w:highlight w:val="none"/>
              </w:rPr>
              <w:t>（2</w:t>
            </w:r>
            <w:r>
              <w:rPr>
                <w:rFonts w:ascii="仿宋" w:hAnsi="仿宋" w:eastAsia="仿宋" w:cs="仿宋"/>
                <w:szCs w:val="21"/>
                <w:highlight w:val="none"/>
              </w:rPr>
              <w:t>8</w:t>
            </w:r>
            <w:r>
              <w:rPr>
                <w:rFonts w:hint="eastAsia" w:ascii="仿宋" w:hAnsi="仿宋" w:eastAsia="仿宋" w:cs="仿宋"/>
                <w:szCs w:val="21"/>
                <w:highlight w:val="none"/>
              </w:rPr>
              <w:t>课时）</w:t>
            </w:r>
          </w:p>
        </w:tc>
        <w:tc>
          <w:tcPr>
            <w:tcW w:w="1450" w:type="pct"/>
            <w:vAlign w:val="center"/>
          </w:tcPr>
          <w:p w14:paraId="3BA3DCD3">
            <w:pPr>
              <w:jc w:val="center"/>
              <w:rPr>
                <w:rFonts w:ascii="仿宋" w:hAnsi="仿宋" w:eastAsia="仿宋" w:cs="仿宋"/>
                <w:szCs w:val="21"/>
                <w:highlight w:val="none"/>
              </w:rPr>
            </w:pPr>
            <w:r>
              <w:rPr>
                <w:rFonts w:hint="eastAsia" w:ascii="仿宋" w:hAnsi="仿宋" w:eastAsia="仿宋" w:cs="仿宋"/>
                <w:szCs w:val="21"/>
                <w:highlight w:val="none"/>
              </w:rPr>
              <w:t>围绕智能分析中的仿真环节，学习相应软件</w:t>
            </w:r>
          </w:p>
        </w:tc>
        <w:tc>
          <w:tcPr>
            <w:tcW w:w="1231" w:type="pct"/>
            <w:vAlign w:val="center"/>
          </w:tcPr>
          <w:p w14:paraId="185B70DB">
            <w:pPr>
              <w:jc w:val="center"/>
              <w:rPr>
                <w:rFonts w:ascii="仿宋" w:hAnsi="仿宋" w:eastAsia="仿宋" w:cs="仿宋"/>
                <w:szCs w:val="21"/>
                <w:highlight w:val="none"/>
              </w:rPr>
            </w:pPr>
            <w:r>
              <w:rPr>
                <w:rFonts w:hint="eastAsia" w:ascii="仿宋" w:hAnsi="仿宋" w:eastAsia="仿宋" w:cs="仿宋"/>
                <w:szCs w:val="21"/>
                <w:highlight w:val="none"/>
              </w:rPr>
              <w:t>实验教学，每周针对一种仿真情景进行建模</w:t>
            </w:r>
          </w:p>
        </w:tc>
      </w:tr>
      <w:tr w14:paraId="48A1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942" w:type="pct"/>
            <w:vMerge w:val="restart"/>
            <w:vAlign w:val="center"/>
          </w:tcPr>
          <w:p w14:paraId="12825385">
            <w:pPr>
              <w:jc w:val="center"/>
              <w:rPr>
                <w:rFonts w:ascii="仿宋" w:hAnsi="仿宋" w:eastAsia="仿宋" w:cs="仿宋"/>
                <w:b/>
                <w:bCs/>
                <w:szCs w:val="21"/>
                <w:highlight w:val="none"/>
              </w:rPr>
            </w:pPr>
            <w:r>
              <w:rPr>
                <w:rFonts w:hint="eastAsia" w:ascii="仿宋" w:hAnsi="仿宋" w:eastAsia="仿宋" w:cs="仿宋"/>
                <w:b/>
                <w:bCs/>
                <w:szCs w:val="21"/>
                <w:highlight w:val="none"/>
              </w:rPr>
              <w:t>数据资产管理</w:t>
            </w:r>
          </w:p>
        </w:tc>
        <w:tc>
          <w:tcPr>
            <w:tcW w:w="1377" w:type="pct"/>
            <w:vAlign w:val="center"/>
          </w:tcPr>
          <w:p w14:paraId="2CCADB87">
            <w:pPr>
              <w:jc w:val="center"/>
              <w:rPr>
                <w:rFonts w:ascii="仿宋" w:hAnsi="仿宋" w:eastAsia="仿宋" w:cs="仿宋"/>
                <w:szCs w:val="21"/>
                <w:highlight w:val="none"/>
              </w:rPr>
            </w:pPr>
            <w:r>
              <w:rPr>
                <w:rFonts w:hint="eastAsia" w:ascii="仿宋" w:hAnsi="仿宋" w:eastAsia="仿宋" w:cs="仿宋"/>
                <w:szCs w:val="21"/>
                <w:highlight w:val="none"/>
              </w:rPr>
              <w:t>模块1：数据与数据资产（1</w:t>
            </w:r>
            <w:r>
              <w:rPr>
                <w:rFonts w:ascii="仿宋" w:hAnsi="仿宋" w:eastAsia="仿宋" w:cs="仿宋"/>
                <w:szCs w:val="21"/>
                <w:highlight w:val="none"/>
              </w:rPr>
              <w:t>2</w:t>
            </w:r>
            <w:r>
              <w:rPr>
                <w:rFonts w:hint="eastAsia" w:ascii="仿宋" w:hAnsi="仿宋" w:eastAsia="仿宋" w:cs="仿宋"/>
                <w:szCs w:val="21"/>
                <w:highlight w:val="none"/>
              </w:rPr>
              <w:t>课时）</w:t>
            </w:r>
          </w:p>
        </w:tc>
        <w:tc>
          <w:tcPr>
            <w:tcW w:w="1450" w:type="pct"/>
            <w:vAlign w:val="center"/>
          </w:tcPr>
          <w:p w14:paraId="7D548515">
            <w:pPr>
              <w:jc w:val="center"/>
              <w:rPr>
                <w:rFonts w:ascii="仿宋" w:hAnsi="仿宋" w:eastAsia="仿宋" w:cs="仿宋"/>
                <w:szCs w:val="21"/>
                <w:highlight w:val="none"/>
              </w:rPr>
            </w:pPr>
            <w:r>
              <w:rPr>
                <w:rFonts w:hint="eastAsia" w:ascii="仿宋" w:hAnsi="仿宋" w:eastAsia="仿宋" w:cs="仿宋"/>
                <w:szCs w:val="21"/>
                <w:highlight w:val="none"/>
              </w:rPr>
              <w:t>数字革命：数据的特征与价值；数字驱动的企业转型：数据资产及其“多维面孔”</w:t>
            </w:r>
          </w:p>
        </w:tc>
        <w:tc>
          <w:tcPr>
            <w:tcW w:w="1231" w:type="pct"/>
            <w:vAlign w:val="center"/>
          </w:tcPr>
          <w:p w14:paraId="3E25CD48">
            <w:pPr>
              <w:jc w:val="center"/>
              <w:rPr>
                <w:rFonts w:ascii="仿宋" w:hAnsi="仿宋" w:eastAsia="仿宋" w:cs="仿宋"/>
                <w:szCs w:val="21"/>
                <w:highlight w:val="none"/>
              </w:rPr>
            </w:pPr>
            <w:r>
              <w:rPr>
                <w:rFonts w:hint="eastAsia" w:ascii="仿宋" w:hAnsi="仿宋" w:eastAsia="仿宋" w:cs="仿宋"/>
                <w:szCs w:val="21"/>
                <w:highlight w:val="none"/>
              </w:rPr>
              <w:t>课堂讲授；案例讨论；</w:t>
            </w:r>
          </w:p>
          <w:p w14:paraId="2E827BED">
            <w:pPr>
              <w:jc w:val="center"/>
              <w:rPr>
                <w:rFonts w:ascii="仿宋" w:hAnsi="仿宋" w:eastAsia="仿宋" w:cs="仿宋"/>
                <w:szCs w:val="21"/>
                <w:highlight w:val="none"/>
              </w:rPr>
            </w:pPr>
            <w:r>
              <w:rPr>
                <w:rFonts w:hint="eastAsia" w:ascii="仿宋" w:hAnsi="仿宋" w:eastAsia="仿宋" w:cs="仿宋"/>
                <w:szCs w:val="21"/>
                <w:highlight w:val="none"/>
              </w:rPr>
              <w:t>研讨中国与世界数字经济与数据实践前沿</w:t>
            </w:r>
          </w:p>
        </w:tc>
      </w:tr>
      <w:tr w14:paraId="77BE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942" w:type="pct"/>
            <w:vMerge w:val="continue"/>
            <w:vAlign w:val="center"/>
          </w:tcPr>
          <w:p w14:paraId="494EA3E4">
            <w:pPr>
              <w:jc w:val="center"/>
              <w:rPr>
                <w:rFonts w:hint="eastAsia" w:ascii="仿宋" w:hAnsi="仿宋" w:eastAsia="仿宋" w:cs="仿宋"/>
                <w:b/>
                <w:bCs/>
                <w:szCs w:val="21"/>
                <w:highlight w:val="none"/>
              </w:rPr>
            </w:pPr>
          </w:p>
        </w:tc>
        <w:tc>
          <w:tcPr>
            <w:tcW w:w="1377" w:type="pct"/>
            <w:vAlign w:val="center"/>
          </w:tcPr>
          <w:p w14:paraId="42AEE972">
            <w:pPr>
              <w:jc w:val="center"/>
              <w:rPr>
                <w:rFonts w:ascii="仿宋" w:hAnsi="仿宋" w:eastAsia="仿宋" w:cs="仿宋"/>
                <w:szCs w:val="21"/>
                <w:highlight w:val="none"/>
              </w:rPr>
            </w:pPr>
            <w:r>
              <w:rPr>
                <w:rFonts w:hint="eastAsia" w:ascii="仿宋" w:hAnsi="仿宋" w:eastAsia="仿宋" w:cs="仿宋"/>
                <w:szCs w:val="21"/>
                <w:highlight w:val="none"/>
              </w:rPr>
              <w:t>模块2：数据资产的管理策略</w:t>
            </w:r>
          </w:p>
          <w:p w14:paraId="68F23C7D">
            <w:pPr>
              <w:jc w:val="center"/>
              <w:rPr>
                <w:rFonts w:ascii="仿宋" w:hAnsi="仿宋" w:eastAsia="仿宋" w:cs="仿宋"/>
                <w:szCs w:val="21"/>
                <w:highlight w:val="none"/>
              </w:rPr>
            </w:pPr>
            <w:r>
              <w:rPr>
                <w:rFonts w:hint="eastAsia" w:ascii="仿宋" w:hAnsi="仿宋" w:eastAsia="仿宋" w:cs="仿宋"/>
                <w:szCs w:val="21"/>
                <w:highlight w:val="none"/>
              </w:rPr>
              <w:t>（1</w:t>
            </w:r>
            <w:r>
              <w:rPr>
                <w:rFonts w:ascii="仿宋" w:hAnsi="仿宋" w:eastAsia="仿宋" w:cs="仿宋"/>
                <w:szCs w:val="21"/>
                <w:highlight w:val="none"/>
              </w:rPr>
              <w:t>2</w:t>
            </w:r>
            <w:r>
              <w:rPr>
                <w:rFonts w:hint="eastAsia" w:ascii="仿宋" w:hAnsi="仿宋" w:eastAsia="仿宋" w:cs="仿宋"/>
                <w:szCs w:val="21"/>
                <w:highlight w:val="none"/>
              </w:rPr>
              <w:t>课时）</w:t>
            </w:r>
          </w:p>
        </w:tc>
        <w:tc>
          <w:tcPr>
            <w:tcW w:w="1450" w:type="pct"/>
            <w:vAlign w:val="center"/>
          </w:tcPr>
          <w:p w14:paraId="30077F5F">
            <w:pPr>
              <w:jc w:val="center"/>
              <w:rPr>
                <w:rFonts w:ascii="仿宋" w:hAnsi="仿宋" w:eastAsia="仿宋" w:cs="仿宋"/>
                <w:szCs w:val="21"/>
                <w:highlight w:val="none"/>
              </w:rPr>
            </w:pPr>
            <w:r>
              <w:rPr>
                <w:rFonts w:hint="eastAsia" w:ascii="仿宋" w:hAnsi="仿宋" w:eastAsia="仿宋" w:cs="仿宋"/>
                <w:szCs w:val="21"/>
                <w:highlight w:val="none"/>
              </w:rPr>
              <w:t>数据治理战略及新型体系；首席数据官与组织架构重塑；“从数据中获利”：数据资产管理框架与关键战略；</w:t>
            </w:r>
          </w:p>
        </w:tc>
        <w:tc>
          <w:tcPr>
            <w:tcW w:w="1231" w:type="pct"/>
            <w:vAlign w:val="center"/>
          </w:tcPr>
          <w:p w14:paraId="2A5DCBA9">
            <w:pPr>
              <w:jc w:val="center"/>
              <w:rPr>
                <w:rFonts w:ascii="仿宋" w:hAnsi="仿宋" w:eastAsia="仿宋" w:cs="仿宋"/>
                <w:szCs w:val="21"/>
                <w:highlight w:val="none"/>
              </w:rPr>
            </w:pPr>
            <w:r>
              <w:rPr>
                <w:rFonts w:hint="eastAsia" w:ascii="仿宋" w:hAnsi="仿宋" w:eastAsia="仿宋" w:cs="仿宋"/>
                <w:szCs w:val="21"/>
                <w:highlight w:val="none"/>
              </w:rPr>
              <w:t>课堂讲授；企业参访；</w:t>
            </w:r>
          </w:p>
          <w:p w14:paraId="6B5ADBE6">
            <w:pPr>
              <w:jc w:val="center"/>
              <w:rPr>
                <w:rFonts w:ascii="仿宋" w:hAnsi="仿宋" w:eastAsia="仿宋" w:cs="仿宋"/>
                <w:szCs w:val="21"/>
                <w:highlight w:val="none"/>
              </w:rPr>
            </w:pPr>
            <w:r>
              <w:rPr>
                <w:rFonts w:hint="eastAsia" w:ascii="仿宋" w:hAnsi="仿宋" w:eastAsia="仿宋" w:cs="仿宋"/>
                <w:szCs w:val="21"/>
                <w:highlight w:val="none"/>
              </w:rPr>
              <w:t>企业现场实践教学；</w:t>
            </w:r>
          </w:p>
          <w:p w14:paraId="2AAE31EF">
            <w:pPr>
              <w:jc w:val="center"/>
              <w:rPr>
                <w:rFonts w:ascii="仿宋" w:hAnsi="仿宋" w:eastAsia="仿宋" w:cs="仿宋"/>
                <w:szCs w:val="21"/>
                <w:highlight w:val="none"/>
              </w:rPr>
            </w:pPr>
            <w:r>
              <w:rPr>
                <w:rFonts w:hint="eastAsia" w:ascii="仿宋" w:hAnsi="仿宋" w:eastAsia="仿宋" w:cs="仿宋"/>
                <w:szCs w:val="21"/>
                <w:highlight w:val="none"/>
              </w:rPr>
              <w:t>战略推演研讨</w:t>
            </w:r>
          </w:p>
        </w:tc>
      </w:tr>
      <w:tr w14:paraId="7FA1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42" w:type="pct"/>
            <w:vMerge w:val="continue"/>
            <w:vAlign w:val="center"/>
          </w:tcPr>
          <w:p w14:paraId="10E74BFF">
            <w:pPr>
              <w:jc w:val="center"/>
              <w:rPr>
                <w:rFonts w:hint="eastAsia" w:ascii="仿宋" w:hAnsi="仿宋" w:eastAsia="仿宋" w:cs="仿宋"/>
                <w:b/>
                <w:bCs/>
                <w:szCs w:val="21"/>
                <w:highlight w:val="none"/>
              </w:rPr>
            </w:pPr>
          </w:p>
        </w:tc>
        <w:tc>
          <w:tcPr>
            <w:tcW w:w="1377" w:type="pct"/>
            <w:vAlign w:val="center"/>
          </w:tcPr>
          <w:p w14:paraId="284EE11E">
            <w:pPr>
              <w:jc w:val="center"/>
              <w:rPr>
                <w:rFonts w:ascii="仿宋" w:hAnsi="仿宋" w:eastAsia="仿宋" w:cs="仿宋"/>
                <w:szCs w:val="21"/>
                <w:highlight w:val="none"/>
              </w:rPr>
            </w:pPr>
            <w:r>
              <w:rPr>
                <w:rFonts w:hint="eastAsia" w:ascii="仿宋" w:hAnsi="仿宋" w:eastAsia="仿宋" w:cs="仿宋"/>
                <w:szCs w:val="21"/>
                <w:highlight w:val="none"/>
              </w:rPr>
              <w:t>模块3：数据资产管理模型与管理能力</w:t>
            </w:r>
          </w:p>
          <w:p w14:paraId="145B1F3A">
            <w:pPr>
              <w:jc w:val="center"/>
              <w:rPr>
                <w:rFonts w:ascii="仿宋" w:hAnsi="仿宋" w:eastAsia="仿宋" w:cs="仿宋"/>
                <w:szCs w:val="21"/>
                <w:highlight w:val="none"/>
              </w:rPr>
            </w:pPr>
            <w:r>
              <w:rPr>
                <w:rFonts w:hint="eastAsia" w:ascii="仿宋" w:hAnsi="仿宋" w:eastAsia="仿宋" w:cs="仿宋"/>
                <w:szCs w:val="21"/>
                <w:highlight w:val="none"/>
              </w:rPr>
              <w:t>（8课时）</w:t>
            </w:r>
          </w:p>
        </w:tc>
        <w:tc>
          <w:tcPr>
            <w:tcW w:w="1450" w:type="pct"/>
            <w:vAlign w:val="center"/>
          </w:tcPr>
          <w:p w14:paraId="06C9A048">
            <w:pPr>
              <w:jc w:val="center"/>
              <w:rPr>
                <w:rFonts w:ascii="仿宋" w:hAnsi="仿宋" w:eastAsia="仿宋" w:cs="仿宋"/>
                <w:szCs w:val="21"/>
                <w:highlight w:val="none"/>
              </w:rPr>
            </w:pPr>
            <w:r>
              <w:rPr>
                <w:rFonts w:hint="eastAsia" w:ascii="仿宋" w:hAnsi="仿宋" w:eastAsia="仿宋" w:cs="仿宋"/>
                <w:szCs w:val="21"/>
                <w:highlight w:val="none"/>
              </w:rPr>
              <w:t>数据管理技术扫描；数据驱动的产品架构重逆；数据资产管理模型和能力：识别、培养与评估框架</w:t>
            </w:r>
          </w:p>
        </w:tc>
        <w:tc>
          <w:tcPr>
            <w:tcW w:w="1231" w:type="pct"/>
            <w:vAlign w:val="center"/>
          </w:tcPr>
          <w:p w14:paraId="1BC1D2C6">
            <w:pPr>
              <w:jc w:val="center"/>
              <w:rPr>
                <w:rFonts w:ascii="仿宋" w:hAnsi="仿宋" w:eastAsia="仿宋" w:cs="仿宋"/>
                <w:szCs w:val="21"/>
                <w:highlight w:val="none"/>
              </w:rPr>
            </w:pPr>
            <w:r>
              <w:rPr>
                <w:rFonts w:hint="eastAsia" w:ascii="仿宋" w:hAnsi="仿宋" w:eastAsia="仿宋" w:cs="仿宋"/>
                <w:szCs w:val="21"/>
                <w:highlight w:val="none"/>
              </w:rPr>
              <w:t>课堂讲授；</w:t>
            </w:r>
          </w:p>
          <w:p w14:paraId="75BFB83D">
            <w:pPr>
              <w:jc w:val="center"/>
              <w:rPr>
                <w:rFonts w:ascii="仿宋" w:hAnsi="仿宋" w:eastAsia="仿宋" w:cs="仿宋"/>
                <w:szCs w:val="21"/>
                <w:highlight w:val="none"/>
              </w:rPr>
            </w:pPr>
            <w:r>
              <w:rPr>
                <w:rFonts w:hint="eastAsia" w:ascii="仿宋" w:hAnsi="仿宋" w:eastAsia="仿宋" w:cs="仿宋"/>
                <w:szCs w:val="21"/>
                <w:highlight w:val="none"/>
              </w:rPr>
              <w:t>小组案例研讨；</w:t>
            </w:r>
          </w:p>
          <w:p w14:paraId="0016A414">
            <w:pPr>
              <w:jc w:val="center"/>
              <w:rPr>
                <w:rFonts w:ascii="仿宋" w:hAnsi="仿宋" w:eastAsia="仿宋" w:cs="仿宋"/>
                <w:szCs w:val="21"/>
                <w:highlight w:val="none"/>
              </w:rPr>
            </w:pPr>
            <w:r>
              <w:rPr>
                <w:rFonts w:hint="eastAsia" w:ascii="仿宋" w:hAnsi="仿宋" w:eastAsia="仿宋" w:cs="仿宋"/>
                <w:szCs w:val="21"/>
                <w:highlight w:val="none"/>
              </w:rPr>
              <w:t>热点行业数据资产管理实践素描</w:t>
            </w:r>
          </w:p>
        </w:tc>
      </w:tr>
      <w:tr w14:paraId="21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42" w:type="pct"/>
            <w:vMerge w:val="restart"/>
            <w:vAlign w:val="center"/>
          </w:tcPr>
          <w:p w14:paraId="67AAAD70">
            <w:pPr>
              <w:jc w:val="center"/>
              <w:rPr>
                <w:rFonts w:ascii="仿宋" w:hAnsi="仿宋" w:eastAsia="仿宋" w:cs="仿宋"/>
                <w:b/>
                <w:bCs/>
                <w:szCs w:val="21"/>
                <w:highlight w:val="none"/>
              </w:rPr>
            </w:pPr>
            <w:r>
              <w:rPr>
                <w:rFonts w:hint="eastAsia" w:ascii="仿宋" w:hAnsi="仿宋" w:eastAsia="仿宋" w:cs="仿宋"/>
                <w:b/>
                <w:bCs/>
                <w:szCs w:val="21"/>
                <w:highlight w:val="none"/>
              </w:rPr>
              <w:t>数智化时代的组织变革</w:t>
            </w:r>
          </w:p>
        </w:tc>
        <w:tc>
          <w:tcPr>
            <w:tcW w:w="1377" w:type="pct"/>
            <w:vAlign w:val="center"/>
          </w:tcPr>
          <w:p w14:paraId="19CC8AE4">
            <w:pPr>
              <w:jc w:val="center"/>
              <w:rPr>
                <w:rFonts w:ascii="仿宋" w:hAnsi="仿宋" w:eastAsia="仿宋" w:cs="仿宋"/>
                <w:szCs w:val="21"/>
                <w:highlight w:val="none"/>
              </w:rPr>
            </w:pPr>
            <w:r>
              <w:rPr>
                <w:rFonts w:hint="eastAsia" w:ascii="仿宋" w:hAnsi="仿宋" w:eastAsia="仿宋" w:cs="仿宋"/>
                <w:szCs w:val="21"/>
                <w:highlight w:val="none"/>
              </w:rPr>
              <w:t>模块1：数智人力资源管理（</w:t>
            </w:r>
            <w:r>
              <w:rPr>
                <w:rFonts w:ascii="仿宋" w:hAnsi="仿宋" w:eastAsia="仿宋" w:cs="仿宋"/>
                <w:szCs w:val="21"/>
                <w:highlight w:val="none"/>
              </w:rPr>
              <w:t>16</w:t>
            </w:r>
            <w:r>
              <w:rPr>
                <w:rFonts w:hint="eastAsia" w:ascii="仿宋" w:hAnsi="仿宋" w:eastAsia="仿宋" w:cs="仿宋"/>
                <w:szCs w:val="21"/>
                <w:highlight w:val="none"/>
              </w:rPr>
              <w:t>课时）</w:t>
            </w:r>
          </w:p>
        </w:tc>
        <w:tc>
          <w:tcPr>
            <w:tcW w:w="1450" w:type="pct"/>
            <w:vAlign w:val="center"/>
          </w:tcPr>
          <w:p w14:paraId="56F90134">
            <w:pPr>
              <w:jc w:val="center"/>
              <w:rPr>
                <w:rFonts w:ascii="仿宋" w:hAnsi="仿宋" w:eastAsia="仿宋" w:cs="仿宋"/>
                <w:szCs w:val="21"/>
                <w:highlight w:val="none"/>
              </w:rPr>
            </w:pPr>
            <w:r>
              <w:rPr>
                <w:rFonts w:hint="eastAsia" w:ascii="仿宋" w:hAnsi="仿宋" w:eastAsia="仿宋" w:cs="仿宋"/>
                <w:szCs w:val="21"/>
                <w:highlight w:val="none"/>
              </w:rPr>
              <w:t>大数据人才画像、AI面试、人才驾驶舱、学习地图、虚拟团队、算法领导</w:t>
            </w:r>
          </w:p>
        </w:tc>
        <w:tc>
          <w:tcPr>
            <w:tcW w:w="1231" w:type="pct"/>
            <w:vAlign w:val="center"/>
          </w:tcPr>
          <w:p w14:paraId="29B00075">
            <w:pPr>
              <w:jc w:val="center"/>
              <w:rPr>
                <w:rFonts w:ascii="仿宋" w:hAnsi="仿宋" w:eastAsia="仿宋" w:cs="仿宋"/>
                <w:szCs w:val="21"/>
                <w:highlight w:val="none"/>
              </w:rPr>
            </w:pPr>
            <w:r>
              <w:rPr>
                <w:rFonts w:hint="eastAsia" w:ascii="仿宋" w:hAnsi="仿宋" w:eastAsia="仿宋" w:cs="仿宋"/>
                <w:szCs w:val="21"/>
                <w:highlight w:val="none"/>
              </w:rPr>
              <w:t>课堂讲授，基于某行业龙头案例系统分析</w:t>
            </w:r>
          </w:p>
        </w:tc>
      </w:tr>
      <w:tr w14:paraId="4809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42" w:type="pct"/>
            <w:vMerge w:val="continue"/>
            <w:vAlign w:val="center"/>
          </w:tcPr>
          <w:p w14:paraId="210708CF">
            <w:pPr>
              <w:jc w:val="center"/>
              <w:rPr>
                <w:rFonts w:ascii="仿宋" w:hAnsi="仿宋" w:eastAsia="仿宋" w:cs="仿宋"/>
                <w:b/>
                <w:bCs/>
                <w:szCs w:val="21"/>
                <w:highlight w:val="none"/>
              </w:rPr>
            </w:pPr>
          </w:p>
        </w:tc>
        <w:tc>
          <w:tcPr>
            <w:tcW w:w="1377" w:type="pct"/>
            <w:vAlign w:val="center"/>
          </w:tcPr>
          <w:p w14:paraId="26C6BCBB">
            <w:pPr>
              <w:jc w:val="center"/>
              <w:rPr>
                <w:rFonts w:ascii="仿宋" w:hAnsi="仿宋" w:eastAsia="仿宋" w:cs="仿宋"/>
                <w:szCs w:val="21"/>
                <w:highlight w:val="none"/>
              </w:rPr>
            </w:pPr>
            <w:r>
              <w:rPr>
                <w:rFonts w:hint="eastAsia" w:ascii="仿宋" w:hAnsi="仿宋" w:eastAsia="仿宋" w:cs="仿宋"/>
                <w:szCs w:val="21"/>
                <w:highlight w:val="none"/>
              </w:rPr>
              <w:t>模块2：企业数智化转型</w:t>
            </w:r>
          </w:p>
          <w:p w14:paraId="25E9A818">
            <w:pPr>
              <w:jc w:val="center"/>
              <w:rPr>
                <w:rFonts w:ascii="仿宋" w:hAnsi="仿宋" w:eastAsia="仿宋" w:cs="仿宋"/>
                <w:szCs w:val="21"/>
                <w:highlight w:val="none"/>
              </w:rPr>
            </w:pPr>
            <w:r>
              <w:rPr>
                <w:rFonts w:hint="eastAsia" w:ascii="仿宋" w:hAnsi="仿宋" w:eastAsia="仿宋" w:cs="仿宋"/>
                <w:szCs w:val="21"/>
                <w:highlight w:val="none"/>
              </w:rPr>
              <w:t>（</w:t>
            </w:r>
            <w:r>
              <w:rPr>
                <w:rFonts w:ascii="仿宋" w:hAnsi="仿宋" w:eastAsia="仿宋" w:cs="仿宋"/>
                <w:szCs w:val="21"/>
                <w:highlight w:val="none"/>
              </w:rPr>
              <w:t>16</w:t>
            </w:r>
            <w:r>
              <w:rPr>
                <w:rFonts w:hint="eastAsia" w:ascii="仿宋" w:hAnsi="仿宋" w:eastAsia="仿宋" w:cs="仿宋"/>
                <w:szCs w:val="21"/>
                <w:highlight w:val="none"/>
              </w:rPr>
              <w:t>课时）</w:t>
            </w:r>
          </w:p>
        </w:tc>
        <w:tc>
          <w:tcPr>
            <w:tcW w:w="1450" w:type="pct"/>
            <w:vAlign w:val="center"/>
          </w:tcPr>
          <w:p w14:paraId="0FE271B8">
            <w:pPr>
              <w:jc w:val="center"/>
              <w:rPr>
                <w:rFonts w:ascii="仿宋" w:hAnsi="仿宋" w:eastAsia="仿宋" w:cs="仿宋"/>
                <w:szCs w:val="21"/>
                <w:highlight w:val="none"/>
              </w:rPr>
            </w:pPr>
            <w:r>
              <w:rPr>
                <w:rFonts w:hint="eastAsia" w:ascii="仿宋" w:hAnsi="仿宋" w:eastAsia="仿宋" w:cs="仿宋"/>
                <w:szCs w:val="21"/>
                <w:highlight w:val="none"/>
              </w:rPr>
              <w:t>传统行业（农业、养老、艺术、租房）+数智化</w:t>
            </w:r>
          </w:p>
        </w:tc>
        <w:tc>
          <w:tcPr>
            <w:tcW w:w="1231" w:type="pct"/>
            <w:vAlign w:val="center"/>
          </w:tcPr>
          <w:p w14:paraId="7D3160E1">
            <w:pPr>
              <w:jc w:val="center"/>
              <w:rPr>
                <w:rFonts w:ascii="仿宋" w:hAnsi="仿宋" w:eastAsia="仿宋" w:cs="仿宋"/>
                <w:szCs w:val="21"/>
                <w:highlight w:val="none"/>
              </w:rPr>
            </w:pPr>
            <w:r>
              <w:rPr>
                <w:rFonts w:hint="eastAsia" w:ascii="仿宋" w:hAnsi="仿宋" w:eastAsia="仿宋" w:cs="仿宋"/>
                <w:szCs w:val="21"/>
                <w:highlight w:val="none"/>
              </w:rPr>
              <w:t>研讨式教学，每周研究一个传统行业数智转型</w:t>
            </w:r>
          </w:p>
        </w:tc>
      </w:tr>
      <w:tr w14:paraId="62A2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 w:type="pct"/>
            <w:vMerge w:val="restart"/>
            <w:vAlign w:val="center"/>
          </w:tcPr>
          <w:p w14:paraId="2AC980C6">
            <w:pPr>
              <w:jc w:val="center"/>
              <w:rPr>
                <w:rFonts w:ascii="仿宋" w:hAnsi="仿宋" w:eastAsia="仿宋" w:cs="仿宋"/>
                <w:b/>
                <w:bCs/>
                <w:szCs w:val="21"/>
                <w:highlight w:val="none"/>
              </w:rPr>
            </w:pPr>
            <w:r>
              <w:rPr>
                <w:rFonts w:hint="eastAsia" w:ascii="仿宋" w:hAnsi="仿宋" w:eastAsia="仿宋" w:cs="仿宋"/>
                <w:b/>
                <w:bCs/>
                <w:szCs w:val="21"/>
                <w:highlight w:val="none"/>
              </w:rPr>
              <w:t>数字供应链管理与商业模式创新</w:t>
            </w:r>
          </w:p>
        </w:tc>
        <w:tc>
          <w:tcPr>
            <w:tcW w:w="1377" w:type="pct"/>
            <w:vAlign w:val="center"/>
          </w:tcPr>
          <w:p w14:paraId="78CDBE48">
            <w:pPr>
              <w:jc w:val="center"/>
              <w:rPr>
                <w:rFonts w:ascii="仿宋" w:hAnsi="仿宋" w:eastAsia="仿宋" w:cs="仿宋"/>
                <w:szCs w:val="21"/>
                <w:highlight w:val="none"/>
              </w:rPr>
            </w:pPr>
            <w:r>
              <w:rPr>
                <w:rFonts w:hint="eastAsia" w:ascii="仿宋" w:hAnsi="仿宋" w:eastAsia="仿宋" w:cs="仿宋"/>
                <w:szCs w:val="21"/>
                <w:highlight w:val="none"/>
              </w:rPr>
              <w:t>模块1：供应链管理</w:t>
            </w:r>
          </w:p>
          <w:p w14:paraId="0F5E0253">
            <w:pPr>
              <w:jc w:val="center"/>
              <w:rPr>
                <w:rFonts w:ascii="仿宋" w:hAnsi="仿宋" w:eastAsia="仿宋" w:cs="仿宋"/>
                <w:szCs w:val="21"/>
                <w:highlight w:val="none"/>
              </w:rPr>
            </w:pPr>
            <w:r>
              <w:rPr>
                <w:rFonts w:hint="eastAsia" w:ascii="仿宋" w:hAnsi="仿宋" w:eastAsia="仿宋" w:cs="仿宋"/>
                <w:szCs w:val="21"/>
                <w:highlight w:val="none"/>
              </w:rPr>
              <w:t>（8课时）</w:t>
            </w:r>
          </w:p>
        </w:tc>
        <w:tc>
          <w:tcPr>
            <w:tcW w:w="1450" w:type="pct"/>
            <w:vAlign w:val="center"/>
          </w:tcPr>
          <w:p w14:paraId="248BEE30">
            <w:pPr>
              <w:jc w:val="center"/>
              <w:rPr>
                <w:rFonts w:ascii="仿宋" w:hAnsi="仿宋" w:eastAsia="仿宋" w:cs="仿宋"/>
                <w:szCs w:val="21"/>
                <w:highlight w:val="none"/>
              </w:rPr>
            </w:pPr>
            <w:r>
              <w:rPr>
                <w:rFonts w:hint="eastAsia" w:ascii="仿宋" w:hAnsi="仿宋" w:eastAsia="仿宋" w:cs="仿宋"/>
                <w:szCs w:val="21"/>
                <w:highlight w:val="none"/>
              </w:rPr>
              <w:t>供应链管理相关内容</w:t>
            </w:r>
          </w:p>
        </w:tc>
        <w:tc>
          <w:tcPr>
            <w:tcW w:w="1231" w:type="pct"/>
            <w:vAlign w:val="center"/>
          </w:tcPr>
          <w:p w14:paraId="273D7E95">
            <w:pPr>
              <w:jc w:val="center"/>
              <w:rPr>
                <w:rFonts w:ascii="仿宋" w:hAnsi="仿宋" w:eastAsia="仿宋" w:cs="仿宋"/>
                <w:szCs w:val="21"/>
                <w:highlight w:val="none"/>
              </w:rPr>
            </w:pPr>
            <w:r>
              <w:rPr>
                <w:rFonts w:hint="eastAsia" w:ascii="仿宋" w:hAnsi="仿宋" w:eastAsia="仿宋" w:cs="仿宋"/>
                <w:szCs w:val="21"/>
                <w:highlight w:val="none"/>
              </w:rPr>
              <w:t>理论授课、案例探讨</w:t>
            </w:r>
          </w:p>
        </w:tc>
      </w:tr>
      <w:tr w14:paraId="5518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 w:type="pct"/>
            <w:vMerge w:val="continue"/>
            <w:vAlign w:val="center"/>
          </w:tcPr>
          <w:p w14:paraId="1229F2C4">
            <w:pPr>
              <w:jc w:val="center"/>
              <w:rPr>
                <w:rFonts w:ascii="仿宋" w:hAnsi="仿宋" w:eastAsia="仿宋" w:cs="仿宋"/>
                <w:b/>
                <w:bCs/>
                <w:szCs w:val="21"/>
                <w:highlight w:val="none"/>
              </w:rPr>
            </w:pPr>
          </w:p>
        </w:tc>
        <w:tc>
          <w:tcPr>
            <w:tcW w:w="1377" w:type="pct"/>
            <w:vAlign w:val="center"/>
          </w:tcPr>
          <w:p w14:paraId="7801B3D4">
            <w:pPr>
              <w:jc w:val="center"/>
              <w:rPr>
                <w:rFonts w:ascii="仿宋" w:hAnsi="仿宋" w:eastAsia="仿宋" w:cs="仿宋"/>
                <w:szCs w:val="21"/>
                <w:highlight w:val="none"/>
              </w:rPr>
            </w:pPr>
            <w:r>
              <w:rPr>
                <w:rFonts w:hint="eastAsia" w:ascii="仿宋" w:hAnsi="仿宋" w:eastAsia="仿宋" w:cs="仿宋"/>
                <w:szCs w:val="21"/>
                <w:highlight w:val="none"/>
              </w:rPr>
              <w:t>模块2：商业模式原理</w:t>
            </w:r>
          </w:p>
          <w:p w14:paraId="6E53013F">
            <w:pPr>
              <w:jc w:val="center"/>
              <w:rPr>
                <w:rFonts w:ascii="仿宋" w:hAnsi="仿宋" w:eastAsia="仿宋" w:cs="仿宋"/>
                <w:szCs w:val="21"/>
                <w:highlight w:val="none"/>
              </w:rPr>
            </w:pPr>
            <w:r>
              <w:rPr>
                <w:rFonts w:hint="eastAsia" w:ascii="仿宋" w:hAnsi="仿宋" w:eastAsia="仿宋" w:cs="仿宋"/>
                <w:szCs w:val="21"/>
                <w:highlight w:val="none"/>
              </w:rPr>
              <w:t>（6课时）</w:t>
            </w:r>
          </w:p>
        </w:tc>
        <w:tc>
          <w:tcPr>
            <w:tcW w:w="1450" w:type="pct"/>
            <w:vAlign w:val="center"/>
          </w:tcPr>
          <w:p w14:paraId="0163C900">
            <w:pPr>
              <w:jc w:val="center"/>
              <w:rPr>
                <w:rFonts w:ascii="仿宋" w:hAnsi="仿宋" w:eastAsia="仿宋" w:cs="仿宋"/>
                <w:szCs w:val="21"/>
                <w:highlight w:val="none"/>
              </w:rPr>
            </w:pPr>
            <w:r>
              <w:rPr>
                <w:rFonts w:hint="eastAsia" w:ascii="仿宋" w:hAnsi="仿宋" w:eastAsia="仿宋" w:cs="仿宋"/>
                <w:szCs w:val="21"/>
                <w:highlight w:val="none"/>
              </w:rPr>
              <w:t>商业模式六因素理论</w:t>
            </w:r>
          </w:p>
        </w:tc>
        <w:tc>
          <w:tcPr>
            <w:tcW w:w="1231" w:type="pct"/>
            <w:vAlign w:val="center"/>
          </w:tcPr>
          <w:p w14:paraId="6C22A2E5">
            <w:pPr>
              <w:jc w:val="center"/>
              <w:rPr>
                <w:rFonts w:ascii="仿宋" w:hAnsi="仿宋" w:eastAsia="仿宋" w:cs="仿宋"/>
                <w:szCs w:val="21"/>
                <w:highlight w:val="none"/>
              </w:rPr>
            </w:pPr>
            <w:r>
              <w:rPr>
                <w:rFonts w:hint="eastAsia" w:ascii="仿宋" w:hAnsi="仿宋" w:eastAsia="仿宋" w:cs="仿宋"/>
                <w:szCs w:val="21"/>
                <w:highlight w:val="none"/>
              </w:rPr>
              <w:t>理论授课、小组讨论</w:t>
            </w:r>
          </w:p>
        </w:tc>
      </w:tr>
      <w:tr w14:paraId="45EA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 w:type="pct"/>
            <w:vMerge w:val="continue"/>
            <w:vAlign w:val="center"/>
          </w:tcPr>
          <w:p w14:paraId="236897AC">
            <w:pPr>
              <w:jc w:val="center"/>
              <w:rPr>
                <w:rFonts w:ascii="仿宋" w:hAnsi="仿宋" w:eastAsia="仿宋" w:cs="仿宋"/>
                <w:b/>
                <w:bCs/>
                <w:szCs w:val="21"/>
                <w:highlight w:val="none"/>
              </w:rPr>
            </w:pPr>
          </w:p>
        </w:tc>
        <w:tc>
          <w:tcPr>
            <w:tcW w:w="1377" w:type="pct"/>
            <w:vAlign w:val="center"/>
          </w:tcPr>
          <w:p w14:paraId="26137DAD">
            <w:pPr>
              <w:jc w:val="center"/>
              <w:rPr>
                <w:rFonts w:ascii="仿宋" w:hAnsi="仿宋" w:eastAsia="仿宋" w:cs="仿宋"/>
                <w:szCs w:val="21"/>
                <w:highlight w:val="none"/>
              </w:rPr>
            </w:pPr>
            <w:r>
              <w:rPr>
                <w:rFonts w:hint="eastAsia" w:ascii="仿宋" w:hAnsi="仿宋" w:eastAsia="仿宋" w:cs="仿宋"/>
                <w:szCs w:val="21"/>
                <w:highlight w:val="none"/>
              </w:rPr>
              <w:t>模块3：供应链金融</w:t>
            </w:r>
          </w:p>
          <w:p w14:paraId="7E8F6930">
            <w:pPr>
              <w:jc w:val="center"/>
              <w:rPr>
                <w:rFonts w:ascii="仿宋" w:hAnsi="仿宋" w:eastAsia="仿宋" w:cs="仿宋"/>
                <w:szCs w:val="21"/>
                <w:highlight w:val="none"/>
              </w:rPr>
            </w:pPr>
            <w:r>
              <w:rPr>
                <w:rFonts w:hint="eastAsia" w:ascii="仿宋" w:hAnsi="仿宋" w:eastAsia="仿宋" w:cs="仿宋"/>
                <w:szCs w:val="21"/>
                <w:highlight w:val="none"/>
              </w:rPr>
              <w:t>（8课时）</w:t>
            </w:r>
          </w:p>
        </w:tc>
        <w:tc>
          <w:tcPr>
            <w:tcW w:w="1450" w:type="pct"/>
            <w:vAlign w:val="center"/>
          </w:tcPr>
          <w:p w14:paraId="5EC3501F">
            <w:pPr>
              <w:jc w:val="center"/>
              <w:rPr>
                <w:rFonts w:ascii="仿宋" w:hAnsi="仿宋" w:eastAsia="仿宋" w:cs="仿宋"/>
                <w:szCs w:val="21"/>
                <w:highlight w:val="none"/>
              </w:rPr>
            </w:pPr>
            <w:r>
              <w:rPr>
                <w:rFonts w:hint="eastAsia" w:ascii="仿宋" w:hAnsi="仿宋" w:eastAsia="仿宋" w:cs="仿宋"/>
                <w:szCs w:val="21"/>
                <w:highlight w:val="none"/>
              </w:rPr>
              <w:t>供应链金融的基本模式、区块链+供应链金融</w:t>
            </w:r>
          </w:p>
        </w:tc>
        <w:tc>
          <w:tcPr>
            <w:tcW w:w="1231" w:type="pct"/>
            <w:vAlign w:val="center"/>
          </w:tcPr>
          <w:p w14:paraId="05E58E81">
            <w:pPr>
              <w:jc w:val="center"/>
              <w:rPr>
                <w:rFonts w:ascii="仿宋" w:hAnsi="仿宋" w:eastAsia="仿宋" w:cs="仿宋"/>
                <w:szCs w:val="21"/>
                <w:highlight w:val="none"/>
              </w:rPr>
            </w:pPr>
            <w:r>
              <w:rPr>
                <w:rFonts w:hint="eastAsia" w:ascii="仿宋" w:hAnsi="仿宋" w:eastAsia="仿宋" w:cs="仿宋"/>
                <w:szCs w:val="21"/>
                <w:highlight w:val="none"/>
              </w:rPr>
              <w:t>理论授课、案例探讨</w:t>
            </w:r>
          </w:p>
        </w:tc>
      </w:tr>
      <w:tr w14:paraId="53D7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 w:type="pct"/>
            <w:vMerge w:val="continue"/>
            <w:vAlign w:val="center"/>
          </w:tcPr>
          <w:p w14:paraId="5B80D57C">
            <w:pPr>
              <w:jc w:val="center"/>
              <w:rPr>
                <w:rFonts w:ascii="仿宋" w:hAnsi="仿宋" w:eastAsia="仿宋" w:cs="仿宋"/>
                <w:b/>
                <w:bCs/>
                <w:szCs w:val="21"/>
                <w:highlight w:val="none"/>
              </w:rPr>
            </w:pPr>
          </w:p>
        </w:tc>
        <w:tc>
          <w:tcPr>
            <w:tcW w:w="1377" w:type="pct"/>
            <w:vAlign w:val="center"/>
          </w:tcPr>
          <w:p w14:paraId="44B8CA4D">
            <w:pPr>
              <w:jc w:val="center"/>
              <w:rPr>
                <w:rFonts w:ascii="仿宋" w:hAnsi="仿宋" w:eastAsia="仿宋" w:cs="仿宋"/>
                <w:szCs w:val="21"/>
                <w:highlight w:val="none"/>
              </w:rPr>
            </w:pPr>
            <w:r>
              <w:rPr>
                <w:rFonts w:hint="eastAsia" w:ascii="仿宋" w:hAnsi="仿宋" w:eastAsia="仿宋" w:cs="仿宋"/>
                <w:szCs w:val="21"/>
                <w:highlight w:val="none"/>
              </w:rPr>
              <w:t>模块4：数字供应链</w:t>
            </w:r>
          </w:p>
          <w:p w14:paraId="788ADDF8">
            <w:pPr>
              <w:jc w:val="center"/>
              <w:rPr>
                <w:rFonts w:ascii="仿宋" w:hAnsi="仿宋" w:eastAsia="仿宋" w:cs="仿宋"/>
                <w:szCs w:val="21"/>
                <w:highlight w:val="none"/>
              </w:rPr>
            </w:pPr>
            <w:r>
              <w:rPr>
                <w:rFonts w:hint="eastAsia" w:ascii="仿宋" w:hAnsi="仿宋" w:eastAsia="仿宋" w:cs="仿宋"/>
                <w:szCs w:val="21"/>
                <w:highlight w:val="none"/>
              </w:rPr>
              <w:t>（10课时）</w:t>
            </w:r>
          </w:p>
        </w:tc>
        <w:tc>
          <w:tcPr>
            <w:tcW w:w="1450" w:type="pct"/>
            <w:vAlign w:val="center"/>
          </w:tcPr>
          <w:p w14:paraId="027270D4">
            <w:pPr>
              <w:jc w:val="center"/>
              <w:rPr>
                <w:rFonts w:ascii="仿宋" w:hAnsi="仿宋" w:eastAsia="仿宋" w:cs="仿宋"/>
                <w:szCs w:val="21"/>
                <w:highlight w:val="none"/>
              </w:rPr>
            </w:pPr>
            <w:r>
              <w:rPr>
                <w:rFonts w:hint="eastAsia" w:ascii="仿宋" w:hAnsi="仿宋" w:eastAsia="仿宋" w:cs="仿宋"/>
                <w:szCs w:val="21"/>
                <w:highlight w:val="none"/>
              </w:rPr>
              <w:t>农业数字供应链、工业数字供应链、服务业数字供应链</w:t>
            </w:r>
          </w:p>
        </w:tc>
        <w:tc>
          <w:tcPr>
            <w:tcW w:w="1231" w:type="pct"/>
            <w:vAlign w:val="center"/>
          </w:tcPr>
          <w:p w14:paraId="7B5F20B2">
            <w:pPr>
              <w:jc w:val="center"/>
              <w:rPr>
                <w:rFonts w:ascii="仿宋" w:hAnsi="仿宋" w:eastAsia="仿宋" w:cs="仿宋"/>
                <w:szCs w:val="21"/>
                <w:highlight w:val="none"/>
              </w:rPr>
            </w:pPr>
            <w:r>
              <w:rPr>
                <w:rFonts w:hint="eastAsia" w:ascii="仿宋" w:hAnsi="仿宋" w:eastAsia="仿宋" w:cs="仿宋"/>
                <w:szCs w:val="21"/>
                <w:highlight w:val="none"/>
              </w:rPr>
              <w:t>理论授课、案例探讨</w:t>
            </w:r>
          </w:p>
        </w:tc>
      </w:tr>
      <w:tr w14:paraId="5415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 w:type="pct"/>
            <w:vMerge w:val="restart"/>
            <w:vAlign w:val="center"/>
          </w:tcPr>
          <w:p w14:paraId="0AFA3925">
            <w:pPr>
              <w:jc w:val="center"/>
              <w:rPr>
                <w:rFonts w:ascii="仿宋" w:hAnsi="仿宋" w:eastAsia="仿宋" w:cs="仿宋"/>
                <w:b/>
                <w:bCs/>
                <w:szCs w:val="21"/>
                <w:highlight w:val="none"/>
              </w:rPr>
            </w:pPr>
            <w:r>
              <w:rPr>
                <w:rFonts w:hint="eastAsia" w:ascii="仿宋" w:hAnsi="仿宋" w:eastAsia="仿宋" w:cs="仿宋"/>
                <w:b/>
                <w:bCs/>
                <w:szCs w:val="21"/>
                <w:highlight w:val="none"/>
              </w:rPr>
              <w:t>智能制造与数智化转型</w:t>
            </w:r>
          </w:p>
        </w:tc>
        <w:tc>
          <w:tcPr>
            <w:tcW w:w="1377" w:type="pct"/>
            <w:vAlign w:val="center"/>
          </w:tcPr>
          <w:p w14:paraId="3C6EF784">
            <w:pPr>
              <w:jc w:val="center"/>
              <w:rPr>
                <w:rFonts w:ascii="仿宋" w:hAnsi="仿宋" w:eastAsia="仿宋" w:cs="仿宋"/>
                <w:szCs w:val="21"/>
                <w:highlight w:val="none"/>
              </w:rPr>
            </w:pPr>
            <w:r>
              <w:rPr>
                <w:rFonts w:hint="eastAsia" w:ascii="仿宋" w:hAnsi="仿宋" w:eastAsia="仿宋" w:cs="仿宋"/>
                <w:szCs w:val="21"/>
                <w:highlight w:val="none"/>
              </w:rPr>
              <w:t>模块1：智能制造技术基础（</w:t>
            </w:r>
            <w:r>
              <w:rPr>
                <w:rFonts w:ascii="仿宋" w:hAnsi="仿宋" w:eastAsia="仿宋" w:cs="仿宋"/>
                <w:szCs w:val="21"/>
                <w:highlight w:val="none"/>
              </w:rPr>
              <w:t>16</w:t>
            </w:r>
            <w:r>
              <w:rPr>
                <w:rFonts w:hint="eastAsia" w:ascii="仿宋" w:hAnsi="仿宋" w:eastAsia="仿宋" w:cs="仿宋"/>
                <w:szCs w:val="21"/>
                <w:highlight w:val="none"/>
              </w:rPr>
              <w:t>课时）</w:t>
            </w:r>
          </w:p>
        </w:tc>
        <w:tc>
          <w:tcPr>
            <w:tcW w:w="1450" w:type="pct"/>
            <w:vAlign w:val="center"/>
          </w:tcPr>
          <w:p w14:paraId="081A49D7">
            <w:pPr>
              <w:jc w:val="center"/>
              <w:rPr>
                <w:rFonts w:ascii="仿宋" w:hAnsi="仿宋" w:eastAsia="仿宋" w:cs="仿宋"/>
                <w:szCs w:val="21"/>
                <w:highlight w:val="none"/>
              </w:rPr>
            </w:pPr>
            <w:r>
              <w:rPr>
                <w:rFonts w:hint="eastAsia" w:ascii="仿宋" w:hAnsi="仿宋" w:eastAsia="仿宋" w:cs="仿宋"/>
                <w:szCs w:val="21"/>
                <w:highlight w:val="none"/>
              </w:rPr>
              <w:t>工业互联网、5G技术、绿色制造、数字孪生等核心技术</w:t>
            </w:r>
          </w:p>
        </w:tc>
        <w:tc>
          <w:tcPr>
            <w:tcW w:w="1231" w:type="pct"/>
            <w:vAlign w:val="center"/>
          </w:tcPr>
          <w:p w14:paraId="738F6A22">
            <w:pPr>
              <w:jc w:val="center"/>
              <w:rPr>
                <w:rFonts w:ascii="仿宋" w:hAnsi="仿宋" w:eastAsia="仿宋" w:cs="仿宋"/>
                <w:szCs w:val="21"/>
                <w:highlight w:val="none"/>
              </w:rPr>
            </w:pPr>
            <w:r>
              <w:rPr>
                <w:rFonts w:hint="eastAsia" w:ascii="仿宋" w:hAnsi="仿宋" w:eastAsia="仿宋" w:cs="仿宋"/>
                <w:szCs w:val="21"/>
                <w:highlight w:val="none"/>
              </w:rPr>
              <w:t>课堂讲授</w:t>
            </w:r>
          </w:p>
        </w:tc>
      </w:tr>
      <w:tr w14:paraId="21D6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 w:type="pct"/>
            <w:vMerge w:val="continue"/>
            <w:vAlign w:val="center"/>
          </w:tcPr>
          <w:p w14:paraId="531AE512">
            <w:pPr>
              <w:jc w:val="center"/>
              <w:rPr>
                <w:rFonts w:ascii="仿宋" w:hAnsi="仿宋" w:eastAsia="仿宋" w:cs="仿宋"/>
                <w:b/>
                <w:bCs/>
                <w:szCs w:val="21"/>
                <w:highlight w:val="none"/>
              </w:rPr>
            </w:pPr>
          </w:p>
        </w:tc>
        <w:tc>
          <w:tcPr>
            <w:tcW w:w="1377" w:type="pct"/>
            <w:vAlign w:val="center"/>
          </w:tcPr>
          <w:p w14:paraId="49D2D19C">
            <w:pPr>
              <w:jc w:val="center"/>
              <w:rPr>
                <w:rFonts w:ascii="仿宋" w:hAnsi="仿宋" w:eastAsia="仿宋" w:cs="仿宋"/>
                <w:szCs w:val="21"/>
                <w:highlight w:val="none"/>
              </w:rPr>
            </w:pPr>
            <w:r>
              <w:rPr>
                <w:rFonts w:hint="eastAsia" w:ascii="仿宋" w:hAnsi="仿宋" w:eastAsia="仿宋" w:cs="仿宋"/>
                <w:szCs w:val="21"/>
                <w:highlight w:val="none"/>
              </w:rPr>
              <w:t>模块2：制造企业数智化转型（</w:t>
            </w:r>
            <w:r>
              <w:rPr>
                <w:rFonts w:ascii="仿宋" w:hAnsi="仿宋" w:eastAsia="仿宋" w:cs="仿宋"/>
                <w:szCs w:val="21"/>
                <w:highlight w:val="none"/>
              </w:rPr>
              <w:t>16</w:t>
            </w:r>
            <w:r>
              <w:rPr>
                <w:rFonts w:hint="eastAsia" w:ascii="仿宋" w:hAnsi="仿宋" w:eastAsia="仿宋" w:cs="仿宋"/>
                <w:szCs w:val="21"/>
                <w:highlight w:val="none"/>
              </w:rPr>
              <w:t>课时）</w:t>
            </w:r>
          </w:p>
        </w:tc>
        <w:tc>
          <w:tcPr>
            <w:tcW w:w="1450" w:type="pct"/>
            <w:vAlign w:val="center"/>
          </w:tcPr>
          <w:p w14:paraId="37C020FE">
            <w:pPr>
              <w:jc w:val="center"/>
              <w:rPr>
                <w:rFonts w:ascii="仿宋" w:hAnsi="仿宋" w:eastAsia="仿宋" w:cs="仿宋"/>
                <w:szCs w:val="21"/>
                <w:highlight w:val="none"/>
              </w:rPr>
            </w:pPr>
            <w:r>
              <w:rPr>
                <w:rFonts w:hint="eastAsia" w:ascii="仿宋" w:hAnsi="仿宋" w:eastAsia="仿宋" w:cs="仿宋"/>
                <w:szCs w:val="21"/>
                <w:highlight w:val="none"/>
              </w:rPr>
              <w:t>中小型制造企业数智化转型升级的障碍及发展路径设计</w:t>
            </w:r>
          </w:p>
        </w:tc>
        <w:tc>
          <w:tcPr>
            <w:tcW w:w="1231" w:type="pct"/>
            <w:vAlign w:val="center"/>
          </w:tcPr>
          <w:p w14:paraId="60BE8983">
            <w:pPr>
              <w:jc w:val="center"/>
              <w:rPr>
                <w:rFonts w:ascii="仿宋" w:hAnsi="仿宋" w:eastAsia="仿宋" w:cs="仿宋"/>
                <w:szCs w:val="21"/>
                <w:highlight w:val="none"/>
              </w:rPr>
            </w:pPr>
            <w:r>
              <w:rPr>
                <w:rFonts w:hint="eastAsia" w:ascii="仿宋" w:hAnsi="仿宋" w:eastAsia="仿宋" w:cs="仿宋"/>
                <w:szCs w:val="21"/>
                <w:highlight w:val="none"/>
              </w:rPr>
              <w:t>案例教学，每周研究一个中小型制造企业的数智化转型</w:t>
            </w:r>
          </w:p>
        </w:tc>
      </w:tr>
      <w:tr w14:paraId="7733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 w:type="pct"/>
            <w:vAlign w:val="center"/>
          </w:tcPr>
          <w:p w14:paraId="2D51148C">
            <w:pPr>
              <w:jc w:val="center"/>
              <w:rPr>
                <w:rFonts w:ascii="仿宋" w:hAnsi="仿宋" w:eastAsia="仿宋" w:cs="仿宋"/>
                <w:b/>
                <w:bCs/>
                <w:szCs w:val="21"/>
                <w:highlight w:val="none"/>
              </w:rPr>
            </w:pPr>
            <w:r>
              <w:rPr>
                <w:rFonts w:hint="eastAsia" w:ascii="仿宋" w:hAnsi="仿宋" w:eastAsia="仿宋" w:cs="仿宋"/>
                <w:b/>
                <w:bCs/>
                <w:szCs w:val="21"/>
                <w:highlight w:val="none"/>
              </w:rPr>
              <w:t>数字媒体与营销变革</w:t>
            </w:r>
          </w:p>
        </w:tc>
        <w:tc>
          <w:tcPr>
            <w:tcW w:w="1377" w:type="pct"/>
            <w:vAlign w:val="center"/>
          </w:tcPr>
          <w:p w14:paraId="54B3069A">
            <w:pPr>
              <w:jc w:val="center"/>
              <w:rPr>
                <w:rFonts w:ascii="仿宋" w:hAnsi="仿宋" w:eastAsia="仿宋" w:cs="仿宋"/>
                <w:szCs w:val="21"/>
                <w:highlight w:val="none"/>
              </w:rPr>
            </w:pPr>
            <w:r>
              <w:rPr>
                <w:rFonts w:hint="eastAsia" w:ascii="仿宋" w:hAnsi="仿宋" w:eastAsia="仿宋" w:cs="仿宋"/>
                <w:szCs w:val="21"/>
                <w:highlight w:val="none"/>
              </w:rPr>
              <w:t>模块1：数字媒体趋势</w:t>
            </w:r>
          </w:p>
          <w:p w14:paraId="731113D7">
            <w:pPr>
              <w:jc w:val="center"/>
              <w:rPr>
                <w:rFonts w:ascii="仿宋" w:hAnsi="仿宋" w:eastAsia="仿宋" w:cs="仿宋"/>
                <w:szCs w:val="21"/>
                <w:highlight w:val="none"/>
              </w:rPr>
            </w:pPr>
            <w:r>
              <w:rPr>
                <w:rFonts w:hint="eastAsia" w:ascii="仿宋" w:hAnsi="仿宋" w:eastAsia="仿宋" w:cs="仿宋"/>
                <w:szCs w:val="21"/>
                <w:highlight w:val="none"/>
              </w:rPr>
              <w:t>模块2：数字营销战略变革</w:t>
            </w:r>
          </w:p>
          <w:p w14:paraId="4E95EA48">
            <w:pPr>
              <w:jc w:val="center"/>
              <w:rPr>
                <w:rFonts w:hint="eastAsia" w:ascii="仿宋" w:hAnsi="仿宋" w:eastAsia="仿宋" w:cs="仿宋"/>
                <w:szCs w:val="21"/>
                <w:highlight w:val="none"/>
              </w:rPr>
            </w:pPr>
            <w:r>
              <w:rPr>
                <w:rFonts w:hint="eastAsia" w:ascii="仿宋" w:hAnsi="仿宋" w:eastAsia="仿宋" w:cs="仿宋"/>
                <w:szCs w:val="21"/>
                <w:highlight w:val="none"/>
              </w:rPr>
              <w:t>模块3：战略分析与制定</w:t>
            </w:r>
          </w:p>
        </w:tc>
        <w:tc>
          <w:tcPr>
            <w:tcW w:w="1450" w:type="pct"/>
            <w:vAlign w:val="center"/>
          </w:tcPr>
          <w:p w14:paraId="6849991B">
            <w:pPr>
              <w:jc w:val="center"/>
              <w:rPr>
                <w:rFonts w:ascii="仿宋" w:hAnsi="仿宋" w:eastAsia="仿宋" w:cs="仿宋"/>
                <w:szCs w:val="21"/>
                <w:highlight w:val="none"/>
              </w:rPr>
            </w:pPr>
            <w:r>
              <w:rPr>
                <w:rFonts w:hint="eastAsia" w:ascii="仿宋" w:hAnsi="仿宋" w:eastAsia="仿宋" w:cs="仿宋"/>
                <w:szCs w:val="21"/>
                <w:highlight w:val="none"/>
              </w:rPr>
              <w:t>数字媒体特别是社交媒体的变革与发展趋势；数字时代的营销战略图景与实践；数字营销战略的商业实践</w:t>
            </w:r>
          </w:p>
        </w:tc>
        <w:tc>
          <w:tcPr>
            <w:tcW w:w="1231" w:type="pct"/>
            <w:vAlign w:val="center"/>
          </w:tcPr>
          <w:p w14:paraId="6A838F8D">
            <w:pPr>
              <w:jc w:val="center"/>
              <w:rPr>
                <w:rFonts w:ascii="仿宋" w:hAnsi="仿宋" w:eastAsia="仿宋" w:cs="仿宋"/>
                <w:szCs w:val="21"/>
                <w:highlight w:val="none"/>
              </w:rPr>
            </w:pPr>
            <w:r>
              <w:rPr>
                <w:rFonts w:hint="eastAsia" w:ascii="仿宋" w:hAnsi="仿宋" w:eastAsia="仿宋" w:cs="仿宋"/>
                <w:szCs w:val="21"/>
                <w:highlight w:val="none"/>
              </w:rPr>
              <w:t>理论授课、案例探讨、小组讨论</w:t>
            </w:r>
          </w:p>
        </w:tc>
      </w:tr>
      <w:tr w14:paraId="7B8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 w:type="pct"/>
            <w:vAlign w:val="center"/>
          </w:tcPr>
          <w:p w14:paraId="4A083731">
            <w:pPr>
              <w:jc w:val="center"/>
              <w:rPr>
                <w:rFonts w:ascii="仿宋" w:hAnsi="仿宋" w:eastAsia="仿宋" w:cs="仿宋"/>
                <w:b/>
                <w:bCs/>
                <w:szCs w:val="21"/>
                <w:highlight w:val="none"/>
              </w:rPr>
            </w:pPr>
            <w:r>
              <w:rPr>
                <w:rFonts w:hint="eastAsia" w:ascii="仿宋" w:hAnsi="仿宋" w:eastAsia="仿宋" w:cs="仿宋"/>
                <w:b/>
                <w:bCs/>
                <w:szCs w:val="21"/>
                <w:highlight w:val="none"/>
              </w:rPr>
              <w:t>数字平台商业模式</w:t>
            </w:r>
          </w:p>
        </w:tc>
        <w:tc>
          <w:tcPr>
            <w:tcW w:w="1377" w:type="pct"/>
            <w:vAlign w:val="center"/>
          </w:tcPr>
          <w:p w14:paraId="694BF304">
            <w:pPr>
              <w:jc w:val="center"/>
              <w:rPr>
                <w:rFonts w:ascii="仿宋" w:hAnsi="仿宋" w:eastAsia="仿宋" w:cs="仿宋"/>
                <w:szCs w:val="21"/>
                <w:highlight w:val="none"/>
              </w:rPr>
            </w:pPr>
            <w:r>
              <w:rPr>
                <w:rFonts w:hint="eastAsia" w:ascii="仿宋" w:hAnsi="仿宋" w:eastAsia="仿宋" w:cs="仿宋"/>
                <w:szCs w:val="21"/>
                <w:highlight w:val="none"/>
              </w:rPr>
              <w:t>模块1：数字平台概念与经济特征（1</w:t>
            </w:r>
            <w:r>
              <w:rPr>
                <w:rFonts w:ascii="仿宋" w:hAnsi="仿宋" w:eastAsia="仿宋" w:cs="仿宋"/>
                <w:szCs w:val="21"/>
                <w:highlight w:val="none"/>
              </w:rPr>
              <w:t>6</w:t>
            </w:r>
            <w:r>
              <w:rPr>
                <w:rFonts w:hint="eastAsia" w:ascii="仿宋" w:hAnsi="仿宋" w:eastAsia="仿宋" w:cs="仿宋"/>
                <w:szCs w:val="21"/>
                <w:highlight w:val="none"/>
              </w:rPr>
              <w:t>课时）</w:t>
            </w:r>
          </w:p>
          <w:p w14:paraId="21B6C3BC">
            <w:pPr>
              <w:jc w:val="center"/>
              <w:rPr>
                <w:rFonts w:ascii="仿宋" w:hAnsi="仿宋" w:eastAsia="仿宋" w:cs="仿宋"/>
                <w:szCs w:val="21"/>
                <w:highlight w:val="none"/>
              </w:rPr>
            </w:pPr>
            <w:r>
              <w:rPr>
                <w:rFonts w:hint="eastAsia" w:ascii="仿宋" w:hAnsi="仿宋" w:eastAsia="仿宋" w:cs="仿宋"/>
                <w:szCs w:val="21"/>
                <w:highlight w:val="none"/>
              </w:rPr>
              <w:t>模块2：数字平台的渠道结构与盈利模式（8课时）</w:t>
            </w:r>
          </w:p>
          <w:p w14:paraId="383A3EC6">
            <w:pPr>
              <w:jc w:val="center"/>
              <w:rPr>
                <w:rFonts w:ascii="仿宋" w:hAnsi="仿宋" w:eastAsia="仿宋" w:cs="仿宋"/>
                <w:szCs w:val="21"/>
                <w:highlight w:val="none"/>
              </w:rPr>
            </w:pPr>
            <w:r>
              <w:rPr>
                <w:rFonts w:hint="eastAsia" w:ascii="仿宋" w:hAnsi="仿宋" w:eastAsia="仿宋" w:cs="仿宋"/>
                <w:szCs w:val="21"/>
                <w:highlight w:val="none"/>
              </w:rPr>
              <w:t>模块</w:t>
            </w:r>
            <w:r>
              <w:rPr>
                <w:rFonts w:ascii="仿宋" w:hAnsi="仿宋" w:eastAsia="仿宋" w:cs="仿宋"/>
                <w:szCs w:val="21"/>
                <w:highlight w:val="none"/>
              </w:rPr>
              <w:t>3</w:t>
            </w:r>
            <w:r>
              <w:rPr>
                <w:rFonts w:hint="eastAsia" w:ascii="仿宋" w:hAnsi="仿宋" w:eastAsia="仿宋" w:cs="仿宋"/>
                <w:szCs w:val="21"/>
                <w:highlight w:val="none"/>
              </w:rPr>
              <w:t>：数字平台的用户增长与发展趋势（8课时）</w:t>
            </w:r>
          </w:p>
        </w:tc>
        <w:tc>
          <w:tcPr>
            <w:tcW w:w="1450" w:type="pct"/>
            <w:vAlign w:val="center"/>
          </w:tcPr>
          <w:p w14:paraId="2D8701F4">
            <w:pPr>
              <w:jc w:val="center"/>
              <w:rPr>
                <w:rFonts w:ascii="仿宋" w:hAnsi="仿宋" w:eastAsia="仿宋" w:cs="仿宋"/>
                <w:szCs w:val="21"/>
                <w:highlight w:val="none"/>
              </w:rPr>
            </w:pPr>
            <w:r>
              <w:rPr>
                <w:rFonts w:hint="eastAsia" w:ascii="仿宋" w:hAnsi="仿宋" w:eastAsia="仿宋" w:cs="仿宋"/>
                <w:szCs w:val="21"/>
                <w:highlight w:val="none"/>
              </w:rPr>
              <w:t>数字平台的基本概念与经济学原理；数字平台的渠道结构与盈利方式；数字平台中的用户增长理论以及未来数字平台的发展方向</w:t>
            </w:r>
          </w:p>
        </w:tc>
        <w:tc>
          <w:tcPr>
            <w:tcW w:w="1231" w:type="pct"/>
            <w:vAlign w:val="center"/>
          </w:tcPr>
          <w:p w14:paraId="2F62C72E">
            <w:pPr>
              <w:jc w:val="center"/>
              <w:rPr>
                <w:rFonts w:ascii="仿宋" w:hAnsi="仿宋" w:eastAsia="仿宋" w:cs="仿宋"/>
                <w:szCs w:val="21"/>
                <w:highlight w:val="none"/>
              </w:rPr>
            </w:pPr>
            <w:r>
              <w:rPr>
                <w:rFonts w:hint="eastAsia" w:ascii="仿宋" w:hAnsi="仿宋" w:eastAsia="仿宋" w:cs="仿宋"/>
                <w:szCs w:val="21"/>
                <w:highlight w:val="none"/>
              </w:rPr>
              <w:t>理论授课、课堂讨论与案例</w:t>
            </w:r>
          </w:p>
        </w:tc>
      </w:tr>
      <w:tr w14:paraId="759A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 w:type="pct"/>
            <w:vAlign w:val="center"/>
          </w:tcPr>
          <w:p w14:paraId="198DB96B">
            <w:pPr>
              <w:jc w:val="center"/>
              <w:rPr>
                <w:rFonts w:ascii="仿宋" w:hAnsi="仿宋" w:eastAsia="仿宋" w:cs="仿宋"/>
                <w:b/>
                <w:bCs/>
                <w:szCs w:val="21"/>
                <w:highlight w:val="none"/>
              </w:rPr>
            </w:pPr>
            <w:r>
              <w:rPr>
                <w:rFonts w:hint="eastAsia" w:ascii="仿宋" w:hAnsi="仿宋" w:eastAsia="仿宋" w:cs="仿宋"/>
                <w:b/>
                <w:bCs/>
                <w:szCs w:val="21"/>
                <w:highlight w:val="none"/>
              </w:rPr>
              <w:t>数字平台与反垄断规制</w:t>
            </w:r>
          </w:p>
        </w:tc>
        <w:tc>
          <w:tcPr>
            <w:tcW w:w="1377" w:type="pct"/>
            <w:vAlign w:val="center"/>
          </w:tcPr>
          <w:p w14:paraId="6D0EF23E">
            <w:pPr>
              <w:jc w:val="center"/>
              <w:rPr>
                <w:rFonts w:ascii="仿宋" w:hAnsi="仿宋" w:eastAsia="仿宋" w:cs="仿宋"/>
                <w:szCs w:val="21"/>
                <w:highlight w:val="none"/>
              </w:rPr>
            </w:pPr>
            <w:r>
              <w:rPr>
                <w:rFonts w:hint="eastAsia" w:ascii="仿宋" w:hAnsi="仿宋" w:eastAsia="仿宋" w:cs="仿宋"/>
                <w:szCs w:val="21"/>
                <w:highlight w:val="none"/>
              </w:rPr>
              <w:t>模块1：数字平台的形成（4课时）</w:t>
            </w:r>
          </w:p>
          <w:p w14:paraId="71703373">
            <w:pPr>
              <w:jc w:val="center"/>
              <w:rPr>
                <w:rFonts w:ascii="仿宋" w:hAnsi="仿宋" w:eastAsia="仿宋" w:cs="仿宋"/>
                <w:szCs w:val="21"/>
                <w:highlight w:val="none"/>
              </w:rPr>
            </w:pPr>
            <w:r>
              <w:rPr>
                <w:rFonts w:hint="eastAsia" w:ascii="仿宋" w:hAnsi="仿宋" w:eastAsia="仿宋" w:cs="仿宋"/>
                <w:szCs w:val="21"/>
                <w:highlight w:val="none"/>
              </w:rPr>
              <w:t>模块2：数字平台竞争行为分析（20课时）</w:t>
            </w:r>
          </w:p>
          <w:p w14:paraId="7872B796">
            <w:pPr>
              <w:jc w:val="center"/>
              <w:rPr>
                <w:rFonts w:ascii="仿宋" w:hAnsi="仿宋" w:eastAsia="仿宋" w:cs="仿宋"/>
                <w:szCs w:val="21"/>
                <w:highlight w:val="none"/>
              </w:rPr>
            </w:pPr>
            <w:r>
              <w:rPr>
                <w:rFonts w:hint="eastAsia" w:ascii="仿宋" w:hAnsi="仿宋" w:eastAsia="仿宋" w:cs="仿宋"/>
                <w:szCs w:val="21"/>
                <w:highlight w:val="none"/>
              </w:rPr>
              <w:t>模块3：数字平台监管与治理（8课时）</w:t>
            </w:r>
          </w:p>
        </w:tc>
        <w:tc>
          <w:tcPr>
            <w:tcW w:w="1450" w:type="pct"/>
            <w:vAlign w:val="center"/>
          </w:tcPr>
          <w:p w14:paraId="63F9FC96">
            <w:pPr>
              <w:jc w:val="center"/>
              <w:rPr>
                <w:rFonts w:ascii="仿宋" w:hAnsi="仿宋" w:eastAsia="仿宋" w:cs="仿宋"/>
                <w:szCs w:val="21"/>
                <w:highlight w:val="none"/>
              </w:rPr>
            </w:pPr>
            <w:r>
              <w:rPr>
                <w:rFonts w:hint="eastAsia" w:ascii="仿宋" w:hAnsi="仿宋" w:eastAsia="仿宋" w:cs="仿宋"/>
                <w:szCs w:val="21"/>
                <w:highlight w:val="none"/>
              </w:rPr>
              <w:t>数字平台呈现的新竞争方式；新竞争方式产生的经济和社会影响；大型数字平台的监管难题</w:t>
            </w:r>
          </w:p>
        </w:tc>
        <w:tc>
          <w:tcPr>
            <w:tcW w:w="1231" w:type="pct"/>
            <w:vAlign w:val="center"/>
          </w:tcPr>
          <w:p w14:paraId="085BF384">
            <w:pPr>
              <w:jc w:val="center"/>
              <w:rPr>
                <w:rFonts w:ascii="仿宋" w:hAnsi="仿宋" w:eastAsia="仿宋" w:cs="仿宋"/>
                <w:szCs w:val="21"/>
                <w:highlight w:val="none"/>
              </w:rPr>
            </w:pPr>
            <w:r>
              <w:rPr>
                <w:rFonts w:hint="eastAsia" w:ascii="仿宋" w:hAnsi="仿宋" w:eastAsia="仿宋" w:cs="仿宋"/>
                <w:szCs w:val="21"/>
                <w:highlight w:val="none"/>
              </w:rPr>
              <w:t>理论讲授</w:t>
            </w:r>
          </w:p>
          <w:p w14:paraId="4A99CD71">
            <w:pPr>
              <w:jc w:val="center"/>
              <w:rPr>
                <w:rFonts w:ascii="仿宋" w:hAnsi="仿宋" w:eastAsia="仿宋" w:cs="仿宋"/>
                <w:szCs w:val="21"/>
                <w:highlight w:val="none"/>
              </w:rPr>
            </w:pPr>
            <w:r>
              <w:rPr>
                <w:rFonts w:hint="eastAsia" w:ascii="仿宋" w:hAnsi="仿宋" w:eastAsia="仿宋" w:cs="仿宋"/>
                <w:szCs w:val="21"/>
                <w:highlight w:val="none"/>
              </w:rPr>
              <w:t>案例研讨</w:t>
            </w:r>
          </w:p>
        </w:tc>
      </w:tr>
    </w:tbl>
    <w:p w14:paraId="5ADE8F9F">
      <w:pPr>
        <w:rPr>
          <w:rFonts w:ascii="宋体" w:hAnsi="宋体" w:eastAsia="宋体"/>
          <w:sz w:val="28"/>
          <w:szCs w:val="28"/>
          <w:highlight w:val="none"/>
        </w:rPr>
      </w:pPr>
    </w:p>
    <w:p w14:paraId="2738AAB8">
      <w:pPr>
        <w:ind w:firstLine="560" w:firstLineChars="200"/>
        <w:rPr>
          <w:rFonts w:ascii="宋体" w:hAnsi="宋体" w:eastAsia="宋体"/>
          <w:sz w:val="28"/>
          <w:szCs w:val="28"/>
          <w:highlight w:val="none"/>
        </w:rPr>
      </w:pPr>
      <w:r>
        <w:rPr>
          <w:rFonts w:hint="eastAsia" w:ascii="宋体" w:hAnsi="宋体" w:eastAsia="宋体"/>
          <w:sz w:val="28"/>
          <w:szCs w:val="28"/>
          <w:highlight w:val="none"/>
        </w:rPr>
        <w:t>八门课程共包括四个大的模块：</w:t>
      </w:r>
    </w:p>
    <w:p w14:paraId="7C2C6E90">
      <w:pPr>
        <w:ind w:firstLine="562" w:firstLineChars="200"/>
        <w:rPr>
          <w:rFonts w:ascii="宋体" w:hAnsi="宋体" w:eastAsia="宋体"/>
          <w:sz w:val="28"/>
          <w:szCs w:val="28"/>
          <w:highlight w:val="none"/>
        </w:rPr>
      </w:pPr>
      <w:r>
        <w:rPr>
          <w:rFonts w:hint="eastAsia" w:ascii="宋体" w:hAnsi="宋体" w:eastAsia="宋体"/>
          <w:b/>
          <w:bCs/>
          <w:sz w:val="28"/>
          <w:szCs w:val="28"/>
          <w:highlight w:val="none"/>
        </w:rPr>
        <w:t>模块一：数智产业化。</w:t>
      </w:r>
      <w:r>
        <w:rPr>
          <w:rFonts w:hint="eastAsia" w:ascii="宋体" w:hAnsi="宋体" w:eastAsia="宋体"/>
          <w:sz w:val="28"/>
          <w:szCs w:val="28"/>
          <w:highlight w:val="none"/>
        </w:rPr>
        <w:t>本模块包含《商业智能与商业分析导论》、《数据资产管理》两门课程，是“数智化创新管理”微专业的方法论基础课程，围绕数智经济时代信息搜集、数据和信息加工处理方法（含算法），旨在教授数据作为新型生产要素的开发、管理、保护与价值创新等。</w:t>
      </w:r>
    </w:p>
    <w:p w14:paraId="580C6081">
      <w:pPr>
        <w:ind w:firstLine="562" w:firstLineChars="200"/>
        <w:rPr>
          <w:rFonts w:ascii="宋体" w:hAnsi="宋体" w:eastAsia="宋体"/>
          <w:sz w:val="28"/>
          <w:szCs w:val="28"/>
          <w:highlight w:val="none"/>
        </w:rPr>
      </w:pPr>
      <w:r>
        <w:rPr>
          <w:rFonts w:hint="eastAsia" w:ascii="宋体" w:hAnsi="宋体" w:eastAsia="宋体"/>
          <w:b/>
          <w:bCs/>
          <w:sz w:val="28"/>
          <w:szCs w:val="28"/>
          <w:highlight w:val="none"/>
        </w:rPr>
        <w:t>模块二：产业数智化</w:t>
      </w:r>
      <w:r>
        <w:rPr>
          <w:rFonts w:hint="eastAsia" w:ascii="宋体" w:hAnsi="宋体" w:eastAsia="宋体"/>
          <w:sz w:val="28"/>
          <w:szCs w:val="28"/>
          <w:highlight w:val="none"/>
        </w:rPr>
        <w:t>。本模块包含《数智化时代的组织变革》《智能制造技术管理》等课程，主要介绍制造业、农业、服务业等传统行业的数智化转型，讲授数智经济时代工商企业管理变革、商业模式创新和实践发展前沿。</w:t>
      </w:r>
    </w:p>
    <w:p w14:paraId="22D64EF5">
      <w:pPr>
        <w:ind w:firstLine="562" w:firstLineChars="200"/>
        <w:rPr>
          <w:rFonts w:ascii="宋体" w:hAnsi="宋体" w:eastAsia="宋体"/>
          <w:sz w:val="28"/>
          <w:szCs w:val="28"/>
          <w:highlight w:val="none"/>
        </w:rPr>
      </w:pPr>
      <w:r>
        <w:rPr>
          <w:rFonts w:hint="eastAsia" w:ascii="宋体" w:hAnsi="宋体" w:eastAsia="宋体"/>
          <w:b/>
          <w:bCs/>
          <w:sz w:val="28"/>
          <w:szCs w:val="28"/>
          <w:highlight w:val="none"/>
        </w:rPr>
        <w:t>模块三：职能数智化</w:t>
      </w:r>
      <w:r>
        <w:rPr>
          <w:rFonts w:hint="eastAsia" w:ascii="宋体" w:hAnsi="宋体" w:eastAsia="宋体"/>
          <w:sz w:val="28"/>
          <w:szCs w:val="28"/>
          <w:highlight w:val="none"/>
        </w:rPr>
        <w:t>。本模块包含《数字供应链管理与商业模式创新》《数字媒体与营销战略管理》《数智化时代的组织变革》等课程，主要揭示人力资源、营销、供应链等传统管理职能的数智化升级模式。旨在讲授数智经济时代如何应用人工智能技术，推动人才管理与营销模式变革，让学生更好地适应新时代管理实践前沿需求。</w:t>
      </w:r>
    </w:p>
    <w:p w14:paraId="33D28F0C">
      <w:pPr>
        <w:ind w:firstLine="562" w:firstLineChars="200"/>
        <w:rPr>
          <w:rFonts w:hint="eastAsia" w:ascii="宋体" w:hAnsi="宋体" w:eastAsia="宋体"/>
          <w:sz w:val="28"/>
          <w:szCs w:val="28"/>
          <w:highlight w:val="none"/>
        </w:rPr>
      </w:pPr>
      <w:r>
        <w:rPr>
          <w:rFonts w:hint="eastAsia" w:ascii="宋体" w:hAnsi="宋体" w:eastAsia="宋体"/>
          <w:b/>
          <w:bCs/>
          <w:sz w:val="28"/>
          <w:szCs w:val="28"/>
          <w:highlight w:val="none"/>
        </w:rPr>
        <w:t>模块四：平台化</w:t>
      </w:r>
      <w:r>
        <w:rPr>
          <w:rFonts w:hint="eastAsia" w:ascii="宋体" w:hAnsi="宋体" w:eastAsia="宋体"/>
          <w:sz w:val="28"/>
          <w:szCs w:val="28"/>
          <w:highlight w:val="none"/>
        </w:rPr>
        <w:t>。本模块包含《数字平台商业模式》、《数字平台与反垄断</w:t>
      </w:r>
      <w:r>
        <w:rPr>
          <w:rFonts w:hint="eastAsia" w:ascii="宋体" w:hAnsi="宋体" w:eastAsia="宋体"/>
          <w:color w:val="000000" w:themeColor="text1"/>
          <w:sz w:val="28"/>
          <w:szCs w:val="28"/>
          <w:highlight w:val="none"/>
          <w14:textFill>
            <w14:solidFill>
              <w14:schemeClr w14:val="tx1"/>
            </w14:solidFill>
          </w14:textFill>
        </w:rPr>
        <w:t>规制》等课程。</w:t>
      </w:r>
      <w:r>
        <w:rPr>
          <w:rFonts w:hint="eastAsia" w:ascii="宋体" w:hAnsi="宋体" w:eastAsia="宋体"/>
          <w:sz w:val="28"/>
          <w:szCs w:val="28"/>
          <w:highlight w:val="none"/>
        </w:rPr>
        <w:t>本课程模块融合经济、管理、法律等交叉学科知识，引导学生对数字经济时代创业企业的经济价值和社会价值进行批判性思考，全方位透视数智经济时代的创业逻辑和大型数字平台的综合治理与有效监管体系，培养与数字时代匹配的管理理念和责任意识。</w:t>
      </w:r>
    </w:p>
    <w:p w14:paraId="01119608">
      <w:pPr>
        <w:rPr>
          <w:rFonts w:ascii="宋体" w:hAnsi="宋体" w:eastAsia="宋体"/>
          <w:b/>
          <w:bCs/>
          <w:sz w:val="28"/>
          <w:szCs w:val="28"/>
          <w:highlight w:val="none"/>
        </w:rPr>
      </w:pPr>
      <w:r>
        <w:rPr>
          <w:rFonts w:hint="eastAsia" w:ascii="宋体" w:hAnsi="宋体" w:eastAsia="宋体"/>
          <w:b/>
          <w:bCs/>
          <w:sz w:val="28"/>
          <w:szCs w:val="28"/>
          <w:highlight w:val="none"/>
          <w:lang w:val="en-US" w:eastAsia="zh-CN"/>
        </w:rPr>
        <w:t>九</w:t>
      </w:r>
      <w:r>
        <w:rPr>
          <w:rFonts w:hint="eastAsia" w:ascii="宋体" w:hAnsi="宋体" w:eastAsia="宋体"/>
          <w:b/>
          <w:bCs/>
          <w:sz w:val="28"/>
          <w:szCs w:val="28"/>
          <w:highlight w:val="none"/>
        </w:rPr>
        <w:t>、其他说明</w:t>
      </w:r>
    </w:p>
    <w:p w14:paraId="4C97185E">
      <w:pPr>
        <w:ind w:firstLine="560" w:firstLineChars="200"/>
        <w:rPr>
          <w:rFonts w:ascii="宋体" w:hAnsi="宋体" w:eastAsia="宋体"/>
          <w:sz w:val="28"/>
          <w:szCs w:val="28"/>
          <w:highlight w:val="none"/>
        </w:rPr>
      </w:pPr>
      <w:r>
        <w:rPr>
          <w:rFonts w:hint="eastAsia" w:ascii="宋体" w:hAnsi="宋体" w:eastAsia="宋体"/>
          <w:sz w:val="28"/>
          <w:szCs w:val="28"/>
          <w:highlight w:val="none"/>
        </w:rPr>
        <w:t>参加微专业修读的学生，已修读的微专业课程学分可等值认定为通识选修课学分，可认定为通识选修课程的学分不超过6分或3门课程。同时根据课程内容相近原则可等值认定为专业教育课程学分。</w:t>
      </w:r>
    </w:p>
    <w:p w14:paraId="3B51BB5A">
      <w:pPr>
        <w:rPr>
          <w:rFonts w:ascii="宋体" w:hAnsi="宋体" w:eastAsia="宋体"/>
          <w:b/>
          <w:bCs/>
          <w:sz w:val="28"/>
          <w:szCs w:val="28"/>
          <w:highlight w:val="none"/>
        </w:rPr>
      </w:pPr>
      <w:r>
        <w:rPr>
          <w:rFonts w:hint="eastAsia" w:ascii="宋体" w:hAnsi="宋体" w:eastAsia="宋体"/>
          <w:b/>
          <w:bCs/>
          <w:sz w:val="28"/>
          <w:szCs w:val="28"/>
          <w:highlight w:val="none"/>
          <w:lang w:val="en-US" w:eastAsia="zh-CN"/>
        </w:rPr>
        <w:t>十</w:t>
      </w:r>
      <w:r>
        <w:rPr>
          <w:rFonts w:hint="eastAsia" w:ascii="宋体" w:hAnsi="宋体" w:eastAsia="宋体"/>
          <w:b/>
          <w:bCs/>
          <w:sz w:val="28"/>
          <w:szCs w:val="28"/>
          <w:highlight w:val="none"/>
        </w:rPr>
        <w:t>、咨询电话</w:t>
      </w:r>
    </w:p>
    <w:p w14:paraId="498D5276">
      <w:pPr>
        <w:ind w:firstLine="560" w:firstLineChars="200"/>
        <w:rPr>
          <w:rFonts w:ascii="宋体" w:hAnsi="宋体" w:eastAsia="宋体"/>
          <w:sz w:val="28"/>
          <w:szCs w:val="28"/>
          <w:highlight w:val="none"/>
        </w:rPr>
      </w:pPr>
      <w:r>
        <w:rPr>
          <w:rFonts w:hint="eastAsia" w:ascii="宋体" w:hAnsi="宋体" w:eastAsia="宋体"/>
          <w:sz w:val="28"/>
          <w:szCs w:val="28"/>
          <w:highlight w:val="none"/>
        </w:rPr>
        <w:t>工商管理学院数智化创新管理微专业管理老师：张老师</w:t>
      </w:r>
      <w:r>
        <w:rPr>
          <w:rFonts w:ascii="宋体" w:hAnsi="宋体" w:eastAsia="宋体"/>
          <w:sz w:val="28"/>
          <w:szCs w:val="28"/>
          <w:highlight w:val="none"/>
        </w:rPr>
        <w:t xml:space="preserve"> 88386661 </w:t>
      </w:r>
      <w:r>
        <w:rPr>
          <w:rFonts w:hint="eastAsia" w:ascii="宋体" w:hAnsi="宋体" w:eastAsia="宋体"/>
          <w:sz w:val="28"/>
          <w:szCs w:val="28"/>
          <w:highlight w:val="none"/>
          <w:lang w:val="en-US" w:eastAsia="zh-CN"/>
        </w:rPr>
        <w:t>文瀚</w:t>
      </w:r>
      <w:r>
        <w:rPr>
          <w:rFonts w:ascii="宋体" w:hAnsi="宋体" w:eastAsia="宋体"/>
          <w:sz w:val="28"/>
          <w:szCs w:val="28"/>
          <w:highlight w:val="none"/>
        </w:rPr>
        <w:t>楼</w:t>
      </w:r>
      <w:r>
        <w:rPr>
          <w:rFonts w:hint="eastAsia" w:ascii="宋体" w:hAnsi="宋体" w:eastAsia="宋体"/>
          <w:sz w:val="28"/>
          <w:szCs w:val="28"/>
          <w:highlight w:val="none"/>
          <w:lang w:val="en-US" w:eastAsia="zh-CN"/>
        </w:rPr>
        <w:t>东606</w:t>
      </w:r>
      <w:r>
        <w:rPr>
          <w:rFonts w:ascii="宋体" w:hAnsi="宋体" w:eastAsia="宋体"/>
          <w:sz w:val="28"/>
          <w:szCs w:val="28"/>
          <w:highlight w:val="none"/>
        </w:rPr>
        <w:t>室</w:t>
      </w:r>
    </w:p>
    <w:p w14:paraId="06FF299A">
      <w:pPr>
        <w:ind w:firstLine="560" w:firstLineChars="200"/>
        <w:rPr>
          <w:rFonts w:ascii="宋体" w:hAnsi="宋体" w:eastAsia="宋体"/>
          <w:sz w:val="28"/>
          <w:szCs w:val="28"/>
          <w:highlight w:val="none"/>
        </w:rPr>
      </w:pPr>
    </w:p>
    <w:p w14:paraId="05EB9A84">
      <w:pPr>
        <w:jc w:val="right"/>
        <w:rPr>
          <w:rFonts w:ascii="宋体" w:hAnsi="宋体" w:eastAsia="宋体"/>
          <w:sz w:val="28"/>
          <w:szCs w:val="28"/>
          <w:highlight w:val="none"/>
        </w:rPr>
      </w:pPr>
      <w:r>
        <w:rPr>
          <w:rFonts w:hint="eastAsia" w:ascii="宋体" w:hAnsi="宋体" w:eastAsia="宋体"/>
          <w:sz w:val="28"/>
          <w:szCs w:val="28"/>
          <w:highlight w:val="none"/>
        </w:rPr>
        <w:t>中南财经政法大学工商管理学院</w:t>
      </w:r>
    </w:p>
    <w:p w14:paraId="3A937BD1">
      <w:pPr>
        <w:jc w:val="right"/>
        <w:rPr>
          <w:rFonts w:ascii="宋体" w:hAnsi="宋体" w:eastAsia="宋体"/>
          <w:sz w:val="28"/>
          <w:szCs w:val="28"/>
          <w:highlight w:val="none"/>
        </w:rPr>
      </w:pPr>
      <w:r>
        <w:rPr>
          <w:rFonts w:ascii="宋体" w:hAnsi="宋体" w:eastAsia="宋体"/>
          <w:sz w:val="28"/>
          <w:szCs w:val="28"/>
          <w:highlight w:val="none"/>
        </w:rPr>
        <w:t xml:space="preserve"> 202</w:t>
      </w:r>
      <w:r>
        <w:rPr>
          <w:rFonts w:hint="eastAsia" w:ascii="宋体" w:hAnsi="宋体" w:eastAsia="宋体"/>
          <w:sz w:val="28"/>
          <w:szCs w:val="28"/>
          <w:highlight w:val="none"/>
          <w:lang w:val="en-US" w:eastAsia="zh-CN"/>
        </w:rPr>
        <w:t>5</w:t>
      </w:r>
      <w:r>
        <w:rPr>
          <w:rFonts w:ascii="宋体" w:hAnsi="宋体" w:eastAsia="宋体"/>
          <w:sz w:val="28"/>
          <w:szCs w:val="28"/>
          <w:highlight w:val="none"/>
        </w:rPr>
        <w:t>年1</w:t>
      </w:r>
      <w:r>
        <w:rPr>
          <w:rFonts w:hint="eastAsia" w:ascii="宋体" w:hAnsi="宋体" w:eastAsia="宋体"/>
          <w:sz w:val="28"/>
          <w:szCs w:val="28"/>
          <w:highlight w:val="none"/>
        </w:rPr>
        <w:t>0</w:t>
      </w:r>
      <w:r>
        <w:rPr>
          <w:rFonts w:ascii="宋体" w:hAnsi="宋体" w:eastAsia="宋体"/>
          <w:sz w:val="28"/>
          <w:szCs w:val="28"/>
          <w:highlight w:val="none"/>
        </w:rPr>
        <w:t>月</w:t>
      </w:r>
      <w:r>
        <w:rPr>
          <w:rFonts w:hint="eastAsia" w:ascii="宋体" w:hAnsi="宋体" w:eastAsia="宋体"/>
          <w:sz w:val="28"/>
          <w:szCs w:val="28"/>
          <w:highlight w:val="none"/>
          <w:lang w:val="en-US" w:eastAsia="zh-CN"/>
        </w:rPr>
        <w:t>13</w:t>
      </w:r>
      <w:r>
        <w:rPr>
          <w:rFonts w:ascii="宋体" w:hAnsi="宋体" w:eastAsia="宋体"/>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A3E504"/>
    <w:multiLevelType w:val="singleLevel"/>
    <w:tmpl w:val="47A3E50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jZDdmYTNlYTNhYWQyM2Q4YzMxZDM3NmQzMzg2YTQifQ=="/>
  </w:docVars>
  <w:rsids>
    <w:rsidRoot w:val="004E43F5"/>
    <w:rsid w:val="00012B40"/>
    <w:rsid w:val="000E121D"/>
    <w:rsid w:val="000E7029"/>
    <w:rsid w:val="00117232"/>
    <w:rsid w:val="0019109D"/>
    <w:rsid w:val="00194D37"/>
    <w:rsid w:val="001B7122"/>
    <w:rsid w:val="001D07C5"/>
    <w:rsid w:val="001E14ED"/>
    <w:rsid w:val="00255EB6"/>
    <w:rsid w:val="00262417"/>
    <w:rsid w:val="002B24E7"/>
    <w:rsid w:val="00405763"/>
    <w:rsid w:val="004D0BEA"/>
    <w:rsid w:val="004E43F5"/>
    <w:rsid w:val="004E7779"/>
    <w:rsid w:val="004F7368"/>
    <w:rsid w:val="00525573"/>
    <w:rsid w:val="0052682C"/>
    <w:rsid w:val="00536C54"/>
    <w:rsid w:val="00571A62"/>
    <w:rsid w:val="005D353C"/>
    <w:rsid w:val="00625A71"/>
    <w:rsid w:val="0068635A"/>
    <w:rsid w:val="006875A6"/>
    <w:rsid w:val="006A3270"/>
    <w:rsid w:val="006C3C3B"/>
    <w:rsid w:val="0076350F"/>
    <w:rsid w:val="0078500F"/>
    <w:rsid w:val="0078596D"/>
    <w:rsid w:val="007C5FD8"/>
    <w:rsid w:val="007D54AC"/>
    <w:rsid w:val="007F10D2"/>
    <w:rsid w:val="00815124"/>
    <w:rsid w:val="008C752E"/>
    <w:rsid w:val="009775FA"/>
    <w:rsid w:val="00987A72"/>
    <w:rsid w:val="009A35EA"/>
    <w:rsid w:val="00A273A5"/>
    <w:rsid w:val="00A3595B"/>
    <w:rsid w:val="00B13068"/>
    <w:rsid w:val="00B3232C"/>
    <w:rsid w:val="00B71809"/>
    <w:rsid w:val="00B75E27"/>
    <w:rsid w:val="00BD0E39"/>
    <w:rsid w:val="00BF1BFB"/>
    <w:rsid w:val="00C4419C"/>
    <w:rsid w:val="00C514D8"/>
    <w:rsid w:val="00C54829"/>
    <w:rsid w:val="00CA5A23"/>
    <w:rsid w:val="00CF541E"/>
    <w:rsid w:val="00D365DB"/>
    <w:rsid w:val="00D3732E"/>
    <w:rsid w:val="00D760CA"/>
    <w:rsid w:val="00DC5A60"/>
    <w:rsid w:val="00DD3CC0"/>
    <w:rsid w:val="00EE369B"/>
    <w:rsid w:val="00F247A3"/>
    <w:rsid w:val="00FE21E2"/>
    <w:rsid w:val="00FE47CA"/>
    <w:rsid w:val="00FF3B71"/>
    <w:rsid w:val="00FF69C7"/>
    <w:rsid w:val="044F0706"/>
    <w:rsid w:val="049B4919"/>
    <w:rsid w:val="06A96453"/>
    <w:rsid w:val="07017E6C"/>
    <w:rsid w:val="0790120C"/>
    <w:rsid w:val="0AC55516"/>
    <w:rsid w:val="0D7E0A40"/>
    <w:rsid w:val="0E0A2D6C"/>
    <w:rsid w:val="12AB2CA4"/>
    <w:rsid w:val="136A697C"/>
    <w:rsid w:val="155A07BC"/>
    <w:rsid w:val="1A512FD2"/>
    <w:rsid w:val="1BAC1FB6"/>
    <w:rsid w:val="1D1A76CF"/>
    <w:rsid w:val="1E1A33BF"/>
    <w:rsid w:val="20821BE1"/>
    <w:rsid w:val="21107AD7"/>
    <w:rsid w:val="22D81026"/>
    <w:rsid w:val="238C1F42"/>
    <w:rsid w:val="24432F68"/>
    <w:rsid w:val="26CB1A16"/>
    <w:rsid w:val="2BA1664E"/>
    <w:rsid w:val="2CBF2EDE"/>
    <w:rsid w:val="2F4A2072"/>
    <w:rsid w:val="2F763554"/>
    <w:rsid w:val="35C6189E"/>
    <w:rsid w:val="35E2382D"/>
    <w:rsid w:val="37EC5DE0"/>
    <w:rsid w:val="3A27133D"/>
    <w:rsid w:val="3AB64A60"/>
    <w:rsid w:val="3BAE4845"/>
    <w:rsid w:val="3BC440FC"/>
    <w:rsid w:val="3CEA3F3E"/>
    <w:rsid w:val="3E5F1BF7"/>
    <w:rsid w:val="3EE95859"/>
    <w:rsid w:val="40BB6E23"/>
    <w:rsid w:val="42862F6A"/>
    <w:rsid w:val="4351240A"/>
    <w:rsid w:val="45616787"/>
    <w:rsid w:val="4636058C"/>
    <w:rsid w:val="4DAC19E5"/>
    <w:rsid w:val="4F9F2C4D"/>
    <w:rsid w:val="4FA9055A"/>
    <w:rsid w:val="519F1D54"/>
    <w:rsid w:val="51FD34E1"/>
    <w:rsid w:val="53781522"/>
    <w:rsid w:val="5676042A"/>
    <w:rsid w:val="568E6439"/>
    <w:rsid w:val="56D5684E"/>
    <w:rsid w:val="5711540D"/>
    <w:rsid w:val="58E05F2C"/>
    <w:rsid w:val="61FA4982"/>
    <w:rsid w:val="666D6916"/>
    <w:rsid w:val="6A130CD7"/>
    <w:rsid w:val="6AAE4E66"/>
    <w:rsid w:val="739E55F0"/>
    <w:rsid w:val="75A31161"/>
    <w:rsid w:val="7CD267D0"/>
    <w:rsid w:val="7EAB72D9"/>
    <w:rsid w:val="7F5A4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未处理的提及1"/>
    <w:basedOn w:val="10"/>
    <w:semiHidden/>
    <w:unhideWhenUsed/>
    <w:qFormat/>
    <w:uiPriority w:val="99"/>
    <w:rPr>
      <w:color w:val="605E5C"/>
      <w:shd w:val="clear" w:color="auto" w:fill="E1DFDD"/>
    </w:rPr>
  </w:style>
  <w:style w:type="character" w:customStyle="1" w:styleId="15">
    <w:name w:val="页眉 字符"/>
    <w:basedOn w:val="10"/>
    <w:link w:val="6"/>
    <w:qFormat/>
    <w:uiPriority w:val="99"/>
    <w:rPr>
      <w:kern w:val="2"/>
      <w:sz w:val="18"/>
      <w:szCs w:val="18"/>
    </w:rPr>
  </w:style>
  <w:style w:type="character" w:customStyle="1" w:styleId="16">
    <w:name w:val="页脚 字符"/>
    <w:basedOn w:val="10"/>
    <w:link w:val="5"/>
    <w:qFormat/>
    <w:uiPriority w:val="99"/>
    <w:rPr>
      <w:kern w:val="2"/>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字符"/>
    <w:basedOn w:val="10"/>
    <w:link w:val="3"/>
    <w:semiHidden/>
    <w:qFormat/>
    <w:uiPriority w:val="99"/>
    <w:rPr>
      <w:kern w:val="2"/>
      <w:sz w:val="21"/>
      <w:szCs w:val="22"/>
    </w:rPr>
  </w:style>
  <w:style w:type="character" w:customStyle="1" w:styleId="19">
    <w:name w:val="批注主题 字符"/>
    <w:basedOn w:val="18"/>
    <w:link w:val="7"/>
    <w:semiHidden/>
    <w:qFormat/>
    <w:uiPriority w:val="99"/>
    <w:rPr>
      <w:b/>
      <w:bCs/>
      <w:kern w:val="2"/>
      <w:sz w:val="21"/>
      <w:szCs w:val="22"/>
    </w:rPr>
  </w:style>
  <w:style w:type="character" w:customStyle="1" w:styleId="20">
    <w:name w:val="批注框文本 字符"/>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数字引用" Version="1987"/>
</file>

<file path=customXml/itemProps1.xml><?xml version="1.0" encoding="utf-8"?>
<ds:datastoreItem xmlns:ds="http://schemas.openxmlformats.org/officeDocument/2006/customXml" ds:itemID="{25858359-0D26-4804-9343-D1AFFB0B2A62}">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2992</Words>
  <Characters>3069</Characters>
  <Lines>24</Lines>
  <Paragraphs>6</Paragraphs>
  <TotalTime>2</TotalTime>
  <ScaleCrop>false</ScaleCrop>
  <LinksUpToDate>false</LinksUpToDate>
  <CharactersWithSpaces>3075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2022-12-01T18:08:00Z</dcterms:created>
  <dc:creator>Wentong Liu</dc:creator>
  <cp:lastModifiedBy>措措</cp:lastModifiedBy>
  <dcterms:modified xsi:type="dcterms:W3CDTF">2025-10-17T06:56:40Z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D571CDA79CC744EDBEDB20D07DA728E5_13</vt:lpwstr>
  </property>
  <property fmtid="{D5CDD505-2E9C-101B-9397-08002B2CF9AE}" pid="4" name="KSOTemplateDocerSaveRecord">
    <vt:lpwstr>eyJoZGlkIjoiNDhkMDA5MDQ4YjYwNTVmMjNiZjQyZmJiMTgxZTgxNTUiLCJ1c2VySWQiOiI2MjY1NzYzMDgifQ==</vt:lpwstr>
  </property>
</Properties>
</file>