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附件1：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“</w:t>
      </w:r>
      <w:r>
        <w:rPr>
          <w:rFonts w:hint="eastAsia"/>
          <w:b/>
          <w:sz w:val="36"/>
          <w:szCs w:val="36"/>
        </w:rPr>
        <w:t>十校联合办学</w:t>
      </w:r>
      <w:r>
        <w:rPr>
          <w:rFonts w:hint="eastAsia"/>
          <w:b/>
          <w:sz w:val="36"/>
          <w:szCs w:val="36"/>
          <w:lang w:eastAsia="zh-CN"/>
        </w:rPr>
        <w:t>”</w:t>
      </w:r>
      <w:r>
        <w:rPr>
          <w:rFonts w:hint="eastAsia"/>
          <w:b/>
          <w:sz w:val="36"/>
          <w:szCs w:val="36"/>
          <w:lang w:val="en-US" w:eastAsia="zh-CN"/>
        </w:rPr>
        <w:t>2015级</w:t>
      </w:r>
      <w:r>
        <w:rPr>
          <w:rFonts w:hint="eastAsia"/>
          <w:b/>
          <w:sz w:val="36"/>
          <w:szCs w:val="36"/>
        </w:rPr>
        <w:t>外校</w:t>
      </w:r>
      <w:r>
        <w:rPr>
          <w:rFonts w:hint="eastAsia"/>
          <w:b/>
          <w:sz w:val="36"/>
          <w:szCs w:val="36"/>
          <w:lang w:eastAsia="zh-CN"/>
        </w:rPr>
        <w:t>部分</w:t>
      </w:r>
      <w:r>
        <w:rPr>
          <w:rFonts w:hint="eastAsia"/>
          <w:b/>
          <w:sz w:val="36"/>
          <w:szCs w:val="36"/>
        </w:rPr>
        <w:t>招生专业一览</w:t>
      </w:r>
    </w:p>
    <w:p>
      <w:pPr>
        <w:adjustRightInd w:val="0"/>
        <w:snapToGrid w:val="0"/>
        <w:spacing w:line="240" w:lineRule="atLeast"/>
        <w:rPr>
          <w:rFonts w:hint="eastAsia"/>
          <w:b/>
          <w:szCs w:val="21"/>
        </w:rPr>
      </w:pPr>
    </w:p>
    <w:tbl>
      <w:tblPr>
        <w:tblStyle w:val="3"/>
        <w:tblW w:w="9804" w:type="dxa"/>
        <w:tblInd w:w="-1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9"/>
        <w:gridCol w:w="3015"/>
        <w:gridCol w:w="1065"/>
        <w:gridCol w:w="1155"/>
        <w:gridCol w:w="106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开设专业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辅修学分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学位学分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所授学位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中南民族大学（10）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法学(公务员方向)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法学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1、在校学习期间未受过任何纪律处分； 2、主修专业因成绩不合格而重修课程不超过两门；3、所报辅修专业与自己所学的主修专业不属于同一学科门类；4、学有余力。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社会工作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法学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计算机科学与技术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7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财务管理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管理学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会计学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管理学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人力资源管理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管理学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经济学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经济学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金融学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经济学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国际经济与贸易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经济学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215" w:hRule="atLeast"/>
        </w:trPr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湖北工业大学（18）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机械设计制造及其自动化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工学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主干课程根据实际情况会有所调整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电气工程及其自动化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电子科学与技术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通信工程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金融学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经济学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国际经济与贸易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经济学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市场营销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管理学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会计学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管理学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财务管理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管理学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人力资源管理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管理学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管理学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电子商务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管理学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管理学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工程管理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汉语国际教育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文学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文学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生物工程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工学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信息管理与信息系统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管理学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武汉工程大学（6）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工程管理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管理学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会计学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管理学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英语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文学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行政管理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管理学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工程管理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管理学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会计学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管理学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武汉纺织大学（2）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服装设计与工程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工学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服装与服饰设计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艺术学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湖北经济学院（5）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湖北第二师范学院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武汉体育学院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体育教育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教育学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1、在校学习期间未受过任何纪律处分；2、主修专业已修课程成绩平均分达80分以上；3、主修专业课程不及格不超过1门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心理学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理学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运动人体科学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教育学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hint="eastAsia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注：除特殊说明外，所有学校共同的规定是：获辅修双学位证书的前提是获得主修专业的学位证书。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eastAsia="宋体"/>
          <w:b/>
          <w:szCs w:val="21"/>
          <w:lang w:val="en-US" w:eastAsia="zh-CN"/>
        </w:rPr>
      </w:pPr>
      <w:bookmarkStart w:id="0" w:name="_GoBack"/>
      <w:bookmarkEnd w:id="0"/>
    </w:p>
    <w:p>
      <w:pPr>
        <w:ind w:left="-420" w:leftChars="-200" w:firstLine="0" w:firstLineChars="0"/>
      </w:pPr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E3F58"/>
    <w:rsid w:val="55CE3F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2016-11-28T02:47:00Z</dcterms:created>
  <dc:creator>Administrator</dc:creator>
  <cp:lastModifiedBy>Administrator</cp:lastModifiedBy>
  <dcterms:modified xsi:type="dcterms:W3CDTF">2016-11-28T02:50:25Z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